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塔城地区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生态环境局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额敏县分局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涉企行政检查年度工作计划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依法监管、精准监管、服务发展的原则，以改善生态环境质量为核心，强化环境监管执法，严厉打击环境违法行为，督促企业落实生态环境保护主体责任，推动经济社会发展全面绿色转型，实现生态环境高水平保护与经济高质量发展协同共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1.全年完成对重点监管企业100%全覆盖检查，一般监管企业检查比例不低于30%，确保及时发现并纠正企业环境违法违规行为。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2.环境违法案件查处率达到100%，行政处罚案件执行到位率不低于95%，形成强有力的执法震慑。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3.推动企业生态环境保护主体责任落实，督促企业完成污染防治设施升级改造、环境管理台账完善等工作，减少污染物排放，降低环境风险。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4.通过检查与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</w:t>
      </w:r>
      <w:r>
        <w:rPr>
          <w:rFonts w:hint="eastAsia" w:ascii="仿宋" w:hAnsi="仿宋" w:eastAsia="仿宋" w:cs="仿宋"/>
          <w:sz w:val="32"/>
          <w:szCs w:val="32"/>
        </w:rPr>
        <w:t>帮扶指导相结合，助力企业解决生态环境问题，促进企业绿色可持续发展，优化营商环境。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三、检查对象与范围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1.重点监管企业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废气排放量大、涉及挥发性有机物（VOCs）、氮氧化物等重点污染物排放的水泥、火电、石化、制药等涉气企业。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产生危险废物种类多、数量大的企业，以及危险废物经营单位。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位于饮用水水源保护区、自然保护区等生态敏感区域周边的企业。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2.一般监管企业：除重点监管企业外，其他产生污染物排放的工业企业。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1.环保手续履行情况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企业建设项目是否依法履行环境影响评价手续，是否存在未批先建、未验先投等违法行为。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排污许可证是否齐全有效，企业实际生产经营活动是否与排污许可证规定的内容相符，是否存在超许可排放污染物的行为。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2.污染防治设施运行情况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废气污染防治设施：检查脱硫、脱硝、除尘、VOCs治理等设施是否正常运行，运行参数是否符合设计要求，设备维护记录是否完整。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废水污染防治设施：检查污水处理设施是否稳定运行，处理工艺是否科学合理，进出水水质是否达标，是否存在偷排、漏排废水的行为。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噪声污染防治设施：检查隔音、消声等设施是否按要求安装并有效运行，厂界噪声是否达标。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固体废物处理处置情况：检查一般工业固体废物和危险废物的收集、贮存、运输、处置是否符合相关标准和规范，危险废物是否委托有资质单位处置，是否执行转移联单制度。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3.环境管理情况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企业是否建立健全环境管理制度，是否设置专门的环保管理机构或配备专职环保管理人员。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环境管理台账是否完整，包括生产记录、污染物排放监测数据、污染防治设施运行记录、危险废物管理台账等。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企业是否制定突发环境事件应急预案，是否定期组织应急演练，应急物资储备是否充足。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环境监测情况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企业是否按照排污许可证要求开展自行监测，监测项目、频次是否符合规定，监测数据是否真实、准确、完整。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自动监测设备是否正常运行，是否与生态环境部门联网，数据传输是否稳定、及时。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五、检查方式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1.日常巡查：执法人员按照划定的监管区域和责任分工，定期对企业进行现场检查，及时发现和处理环境问题。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2.专项检查：针对特定行业、特定污染物、特定区域或突出环境问题，组织开展专项执法检查行动。如开展秋冬季大气污染防治攻坚专项检查、危险废物专项整治行动等。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3.交叉检查：联合其他地区生态环境部门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和兵团第九师生态环境局</w:t>
      </w:r>
      <w:r>
        <w:rPr>
          <w:rFonts w:hint="eastAsia" w:ascii="仿宋" w:hAnsi="仿宋" w:eastAsia="仿宋" w:cs="仿宋"/>
          <w:sz w:val="32"/>
          <w:szCs w:val="32"/>
        </w:rPr>
        <w:t>开展交叉执法检查，打破地域限制，避免执法干扰，提高检查的公正性和有效性。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“双随机、一公开”检查：通过随机抽取检查对象、随机选派执法检查人员，及时公开检查结果，确保监管执法的公平、公正、公开。合理确定随机抽查的比例和频次，避免对企业正常生产经营活动造成过多干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5.突击检查：针对群众举报、媒体曝光、在线监测数据异常等线索，开展突击检查，严厉打击环境违法行为。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1.第一季度（1-3月）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制定年度行政检查工作计划，明确检查任务、重点和方式。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组织执法人员开展业务培训，学习新的环保法律法规、标准规范和执法技术，提高执法能力和水平。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对涉气企业开展冬季大气污染防治专项检查，重点检查企业污染防治设施运行、重污染天气应急响应措施落实情况。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2.第二季度（4-6月）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组织对涉水企业的检查，检查污水处理设施运行、废水达标排放情况。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对生态敏感区域周边企业进行全面排查，消除环境安全隐患。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3.第三季度（7-9月）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重点检查涉VOCs排放企业的治理设施运行和减排措施落实情况。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开展危险废物整治行动，检查企业危险废物产生、贮存、转移、处置等环节的规范化管理情况。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4.第四季度（10-12月）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开展秋冬季大气污染防治攻坚检查，督促企业落实错峰生产、限产等减排措施。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对全年行政检查工作进行总结评估，梳理存在的问题和不足，提出改进措施。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对存在环境违法行为的企业整改情况进行“回头看”，确保问题整改到位，防止反弹。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七、保障措施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1.加强组织领导：成立生态环境局涉企行政检查工作领导小组，由局主要领导任组长，分管领导任副组长，各相关科室、执法大队负责人为成员。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2.强化队伍建设：定期组织执法人员参加业务培训和交流学习活动，邀请专家授课，开展案例分析和模拟执法演练，不断提升执法人员的专业素质和执法能力。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3.严格执法监管：对检查中发现的环境违法行为，依法予以严肃查处，绝不姑息迁就。对情节严重、影响恶劣的环境违法案件，实行挂牌督办，公开曝光，形成强大的执法震慑。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4.加强部门协作：加强与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发改、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工信、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市场监管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和县</w:t>
      </w:r>
      <w:r>
        <w:rPr>
          <w:rFonts w:hint="eastAsia" w:ascii="仿宋" w:hAnsi="仿宋" w:eastAsia="仿宋" w:cs="仿宋"/>
          <w:sz w:val="32"/>
          <w:szCs w:val="32"/>
        </w:rPr>
        <w:t>公安等部门的沟通协作，建立健全信息共享、联合执法、案件移送等工作机制，形成生态环境保护工作合力。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5.优化服务指导：在严格执法的同时，主动为企业提供环保政策咨询和技术指导服务，帮助企业解决污染防治难题，推动企业绿色转型升级。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 接受社会监督：畅通群众举报渠道，鼓励公众通过电话、网络、来信等方式举报环境违法行为。对群众举报线索，及时进行调查处理，并将处理结果向举报人反馈。定期公开行政检查情况和环境违法案件查处情况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塔城地区生态环境局额敏县分局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834" w:leftChars="1216" w:hanging="1280" w:hangingChars="4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额敏县生态环境保护综合行政执法大队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2025年5月20日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7261B"/>
    <w:rsid w:val="03B7227C"/>
    <w:rsid w:val="068D285B"/>
    <w:rsid w:val="08E25939"/>
    <w:rsid w:val="10F16DCD"/>
    <w:rsid w:val="133236CD"/>
    <w:rsid w:val="13734411"/>
    <w:rsid w:val="15EC3621"/>
    <w:rsid w:val="170D2F48"/>
    <w:rsid w:val="17E01949"/>
    <w:rsid w:val="18DA6CE0"/>
    <w:rsid w:val="19FD4A34"/>
    <w:rsid w:val="1A481CD8"/>
    <w:rsid w:val="1C4D64D6"/>
    <w:rsid w:val="1F0B3750"/>
    <w:rsid w:val="1F38206B"/>
    <w:rsid w:val="206A26F8"/>
    <w:rsid w:val="210D590F"/>
    <w:rsid w:val="246A53BC"/>
    <w:rsid w:val="24FE5B05"/>
    <w:rsid w:val="2A26502E"/>
    <w:rsid w:val="2BFF288E"/>
    <w:rsid w:val="3327321E"/>
    <w:rsid w:val="350A412D"/>
    <w:rsid w:val="35FA5E74"/>
    <w:rsid w:val="373F7FE3"/>
    <w:rsid w:val="38EF77E6"/>
    <w:rsid w:val="3A127C30"/>
    <w:rsid w:val="3A4821DC"/>
    <w:rsid w:val="3BDC22A4"/>
    <w:rsid w:val="44AD0C81"/>
    <w:rsid w:val="4C212AFC"/>
    <w:rsid w:val="4D8E53C8"/>
    <w:rsid w:val="4E3E6DEE"/>
    <w:rsid w:val="4EED7D63"/>
    <w:rsid w:val="5A9304C2"/>
    <w:rsid w:val="610B0DB2"/>
    <w:rsid w:val="613F0A5C"/>
    <w:rsid w:val="61AD00BB"/>
    <w:rsid w:val="620B6B90"/>
    <w:rsid w:val="63BA6ABF"/>
    <w:rsid w:val="656C203B"/>
    <w:rsid w:val="658A0094"/>
    <w:rsid w:val="65DF2A5C"/>
    <w:rsid w:val="66EC3434"/>
    <w:rsid w:val="6B4A24D7"/>
    <w:rsid w:val="70F86ED9"/>
    <w:rsid w:val="73041B05"/>
    <w:rsid w:val="766A174F"/>
    <w:rsid w:val="77297D8C"/>
    <w:rsid w:val="77CA50CB"/>
    <w:rsid w:val="7B2D3956"/>
    <w:rsid w:val="7C7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2367</Words>
  <Characters>2417</Characters>
  <Lines>0</Lines>
  <Paragraphs>0</Paragraphs>
  <TotalTime>351</TotalTime>
  <ScaleCrop>false</ScaleCrop>
  <LinksUpToDate>false</LinksUpToDate>
  <CharactersWithSpaces>2454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2025-05-20T10:04:00Z</dcterms:created>
  <dc:creator>Administrator</dc:creator>
  <cp:lastModifiedBy>Administrator</cp:lastModifiedBy>
  <dcterms:modified xsi:type="dcterms:W3CDTF">2025-08-21T04:04:57Z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eyJoZGlkIjoiODhjN2I3OGFhNzBkZDc0YWUwMjZkNTZmYjIxNzc3NWYifQ==</vt:lpwstr>
  </property>
  <property fmtid="{D5CDD505-2E9C-101B-9397-08002B2CF9AE}" pid="4" name="ICV">
    <vt:lpwstr>0C12450ABFE742FFA0C1543C053B9923_12</vt:lpwstr>
  </property>
</Properties>
</file>