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12700</wp:posOffset>
                </wp:positionV>
                <wp:extent cx="5600700" cy="0"/>
                <wp:effectExtent l="0" t="19050" r="0" b="19050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1pt;height:0pt;width:441pt;z-index:251712512;mso-width-relative:page;mso-height-relative:page;" filled="f" stroked="t" coordsize="21600,21600" o:gfxdata="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V7g30gAAAAUBAAAP&#10;AAAAAAAAAAEAIAAAACIAAABkcnMvZG93bnJldi54bWxQSwECFAAUAAAACACHTuJAQDPDGOUBAACx&#10;AwAADgAAAAAAAAABACAAAAAhAQAAZHJzL2Uyb0RvYy54bWxQSwUGAAAAAAYABgBZAQAAeAU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行政强制执行事先催告书</w:t>
      </w:r>
    </w:p>
    <w:bookmarkEnd w:id="0"/>
    <w:p>
      <w:pPr>
        <w:spacing w:beforeLines="50" w:line="520" w:lineRule="exact"/>
        <w:jc w:val="center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（额）应急执行催告〔2021〕1号</w:t>
      </w:r>
    </w:p>
    <w:p>
      <w:pPr>
        <w:widowControl/>
        <w:spacing w:line="520" w:lineRule="exact"/>
        <w:rPr>
          <w:rFonts w:ascii="仿宋_GB2312" w:hAnsi="仿宋" w:eastAsia="仿宋_GB2312" w:cs="仿宋"/>
          <w:color w:val="000000"/>
          <w:kern w:val="0"/>
          <w:sz w:val="24"/>
          <w:szCs w:val="24"/>
          <w:u w:val="single"/>
        </w:rPr>
      </w:pPr>
    </w:p>
    <w:p>
      <w:pPr>
        <w:widowControl/>
        <w:spacing w:line="520" w:lineRule="exact"/>
        <w:rPr>
          <w:rFonts w:ascii="仿宋_GB2312" w:hAnsi="仿宋" w:eastAsia="仿宋_GB2312"/>
          <w:color w:val="000000"/>
          <w:kern w:val="0"/>
          <w:szCs w:val="21"/>
        </w:rPr>
      </w:pPr>
      <w:r>
        <w:rPr>
          <w:rFonts w:hint="eastAsia" w:ascii="仿宋_GB2312" w:eastAsia="仿宋_GB2312"/>
          <w:color w:val="000000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仿宋_GB2312" w:hAnsi="仿宋" w:eastAsia="仿宋_GB2312" w:cs="仿宋"/>
          <w:color w:val="000000"/>
          <w:kern w:val="0"/>
          <w:sz w:val="24"/>
          <w:szCs w:val="24"/>
        </w:rPr>
        <w:t>：</w:t>
      </w:r>
    </w:p>
    <w:p>
      <w:pPr>
        <w:widowControl/>
        <w:spacing w:line="520" w:lineRule="exact"/>
        <w:ind w:firstLine="480"/>
        <w:rPr>
          <w:rFonts w:ascii="仿宋_GB2312" w:hAnsi="仿宋" w:eastAsia="仿宋_GB2312" w:cs="仿宋"/>
          <w:color w:val="000000"/>
          <w:sz w:val="24"/>
          <w:szCs w:val="24"/>
        </w:rPr>
      </w:pPr>
      <w:r>
        <w:rPr>
          <w:rFonts w:hint="eastAsia" w:ascii="仿宋_GB2312" w:hAnsi="仿宋" w:eastAsia="仿宋_GB2312" w:cs="仿宋"/>
          <w:color w:val="000000"/>
          <w:sz w:val="24"/>
          <w:szCs w:val="24"/>
        </w:rPr>
        <w:t>本机关于</w:t>
      </w:r>
      <w:r>
        <w:rPr>
          <w:rFonts w:hint="eastAsia" w:ascii="仿宋_GB2312" w:hAnsi="仿宋" w:eastAsia="仿宋_GB2312" w:cs="仿宋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日对你（单位）作出的</w:t>
      </w:r>
      <w:r>
        <w:rPr>
          <w:rFonts w:hint="eastAsia" w:ascii="仿宋_GB2312" w:hAnsi="仿宋" w:eastAsia="仿宋_GB2312" w:cs="仿宋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 xml:space="preserve"> 尚未履行，你（单位）在法定期限内未申请行政复议或者提起行政诉讼。依据《中华人民共和国行政强制法》第五十三条、第五十四条的规定，请你（单位）：</w:t>
      </w:r>
    </w:p>
    <w:p>
      <w:pPr>
        <w:widowControl/>
        <w:spacing w:line="520" w:lineRule="exact"/>
        <w:ind w:firstLine="480"/>
        <w:rPr>
          <w:rFonts w:ascii="仿宋_GB2312" w:hAnsi="仿宋" w:eastAsia="仿宋_GB2312" w:cs="仿宋"/>
          <w:color w:val="000000"/>
          <w:sz w:val="24"/>
          <w:szCs w:val="24"/>
        </w:rPr>
      </w:pPr>
      <w:r>
        <w:rPr>
          <w:rFonts w:hint="eastAsia" w:ascii="仿宋_GB2312" w:hAnsi="仿宋" w:eastAsia="仿宋_GB2312" w:cs="仿宋"/>
          <w:color w:val="000000"/>
          <w:sz w:val="24"/>
          <w:szCs w:val="24"/>
        </w:rPr>
        <w:t>于</w:t>
      </w:r>
      <w:r>
        <w:rPr>
          <w:rFonts w:hint="eastAsia" w:ascii="仿宋_GB2312" w:hAnsi="仿宋" w:eastAsia="仿宋_GB2312" w:cs="仿宋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日前将罚款</w:t>
      </w:r>
      <w:r>
        <w:rPr>
          <w:rFonts w:hint="eastAsia" w:hAnsi="宋体" w:cs="宋体"/>
          <w:szCs w:val="21"/>
        </w:rPr>
        <w:t>________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元（大写）、加处罚款</w:t>
      </w:r>
      <w:r>
        <w:rPr>
          <w:rFonts w:hint="eastAsia" w:hAnsi="宋体" w:cs="宋体"/>
          <w:szCs w:val="21"/>
        </w:rPr>
        <w:t>________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元（大写），（合计：</w:t>
      </w:r>
      <w:r>
        <w:rPr>
          <w:rFonts w:hint="eastAsia" w:hAnsi="宋体" w:cs="宋体"/>
          <w:szCs w:val="21"/>
        </w:rPr>
        <w:t>________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元） 缴至</w:t>
      </w:r>
      <w:r>
        <w:rPr>
          <w:rFonts w:hint="eastAsia" w:hAnsi="宋体" w:cs="宋体"/>
          <w:szCs w:val="21"/>
        </w:rPr>
        <w:t>________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银行。</w:t>
      </w:r>
    </w:p>
    <w:p>
      <w:pPr>
        <w:widowControl/>
        <w:spacing w:line="520" w:lineRule="exact"/>
        <w:ind w:firstLine="480"/>
        <w:rPr>
          <w:rFonts w:ascii="仿宋_GB2312" w:hAnsi="仿宋" w:eastAsia="仿宋_GB2312" w:cs="仿宋"/>
          <w:color w:val="000000"/>
          <w:sz w:val="24"/>
          <w:szCs w:val="24"/>
        </w:rPr>
      </w:pPr>
      <w:r>
        <w:rPr>
          <w:rFonts w:hint="eastAsia" w:ascii="仿宋_GB2312" w:hAnsi="仿宋" w:eastAsia="仿宋_GB2312" w:cs="仿宋"/>
          <w:color w:val="000000"/>
          <w:sz w:val="24"/>
          <w:szCs w:val="24"/>
        </w:rPr>
        <w:t>立即履行以下行政决定：</w:t>
      </w:r>
      <w:r>
        <w:rPr>
          <w:rFonts w:hint="eastAsia" w:ascii="仿宋_GB2312" w:hAnsi="仿宋" w:eastAsia="仿宋_GB2312" w:cs="仿宋"/>
          <w:color w:val="000000"/>
          <w:sz w:val="24"/>
          <w:szCs w:val="24"/>
          <w:u w:val="single"/>
        </w:rPr>
        <w:t xml:space="preserve">                                          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。</w:t>
      </w:r>
    </w:p>
    <w:p>
      <w:pPr>
        <w:widowControl/>
        <w:spacing w:line="520" w:lineRule="exact"/>
        <w:ind w:firstLine="480"/>
        <w:rPr>
          <w:rFonts w:ascii="仿宋_GB2312" w:hAnsi="仿宋" w:eastAsia="仿宋_GB2312" w:cs="仿宋"/>
          <w:color w:val="000000"/>
          <w:sz w:val="24"/>
          <w:szCs w:val="24"/>
        </w:rPr>
      </w:pPr>
      <w:r>
        <w:rPr>
          <w:rFonts w:hint="eastAsia" w:ascii="仿宋_GB2312" w:hAnsi="仿宋" w:eastAsia="仿宋_GB2312" w:cs="仿宋"/>
          <w:color w:val="000000"/>
          <w:sz w:val="24"/>
          <w:szCs w:val="24"/>
        </w:rPr>
        <w:t>如你（单位）不履行上述义务，本机关将依据《中华人民共和国行政强制法》第五十三条、第五十四条的规定，申请人民法院强制执行。</w:t>
      </w:r>
    </w:p>
    <w:p>
      <w:pPr>
        <w:spacing w:line="520" w:lineRule="exact"/>
        <w:jc w:val="center"/>
        <w:rPr>
          <w:rFonts w:ascii="仿宋_GB2312" w:eastAsia="仿宋_GB2312"/>
          <w:color w:val="000000"/>
          <w:kern w:val="0"/>
          <w:sz w:val="24"/>
          <w:szCs w:val="24"/>
        </w:rPr>
      </w:pPr>
    </w:p>
    <w:p>
      <w:pPr>
        <w:spacing w:line="520" w:lineRule="exact"/>
        <w:jc w:val="center"/>
        <w:rPr>
          <w:rFonts w:ascii="仿宋_GB2312" w:eastAsia="仿宋_GB2312"/>
          <w:color w:val="000000"/>
          <w:kern w:val="0"/>
          <w:sz w:val="24"/>
          <w:szCs w:val="24"/>
        </w:rPr>
      </w:pPr>
    </w:p>
    <w:p>
      <w:pPr>
        <w:spacing w:line="520" w:lineRule="exact"/>
        <w:jc w:val="center"/>
        <w:rPr>
          <w:rFonts w:ascii="仿宋_GB2312" w:eastAsia="仿宋_GB2312"/>
          <w:color w:val="000000"/>
          <w:kern w:val="0"/>
          <w:sz w:val="24"/>
          <w:szCs w:val="24"/>
        </w:rPr>
      </w:pPr>
    </w:p>
    <w:p>
      <w:pPr>
        <w:spacing w:line="520" w:lineRule="exact"/>
        <w:jc w:val="center"/>
        <w:rPr>
          <w:rFonts w:ascii="仿宋_GB2312" w:eastAsia="仿宋_GB2312"/>
          <w:color w:val="000000"/>
          <w:kern w:val="0"/>
          <w:sz w:val="24"/>
          <w:szCs w:val="24"/>
        </w:rPr>
      </w:pPr>
    </w:p>
    <w:p>
      <w:pPr>
        <w:widowControl/>
        <w:spacing w:line="520" w:lineRule="exact"/>
        <w:rPr>
          <w:rFonts w:ascii="仿宋_GB2312" w:eastAsia="仿宋_GB2312"/>
          <w:color w:val="000000"/>
          <w:kern w:val="0"/>
          <w:sz w:val="24"/>
          <w:szCs w:val="24"/>
        </w:rPr>
      </w:pPr>
      <w:r>
        <w:rPr>
          <w:rFonts w:hint="eastAsia" w:eastAsia="仿宋_GB2312"/>
          <w:color w:val="000000"/>
          <w:kern w:val="0"/>
          <w:sz w:val="24"/>
          <w:szCs w:val="24"/>
        </w:rPr>
        <w:t xml:space="preserve"> </w:t>
      </w:r>
    </w:p>
    <w:p>
      <w:pPr>
        <w:widowControl/>
        <w:spacing w:line="520" w:lineRule="exact"/>
        <w:rPr>
          <w:rFonts w:ascii="仿宋_GB2312" w:eastAsia="仿宋_GB2312"/>
          <w:color w:val="000000"/>
          <w:kern w:val="0"/>
          <w:sz w:val="24"/>
          <w:szCs w:val="24"/>
        </w:rPr>
      </w:pPr>
      <w:r>
        <w:rPr>
          <w:rFonts w:hint="eastAsia" w:eastAsia="仿宋_GB2312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_GB2312" w:eastAsia="仿宋_GB2312"/>
          <w:color w:val="000000"/>
          <w:kern w:val="0"/>
          <w:sz w:val="24"/>
          <w:szCs w:val="24"/>
        </w:rPr>
        <w:t xml:space="preserve">                                                </w:t>
      </w:r>
    </w:p>
    <w:p>
      <w:pPr>
        <w:widowControl/>
        <w:spacing w:line="520" w:lineRule="exact"/>
        <w:rPr>
          <w:rFonts w:ascii="仿宋_GB2312" w:eastAsia="仿宋_GB2312"/>
          <w:color w:val="000000"/>
          <w:kern w:val="0"/>
          <w:sz w:val="24"/>
          <w:szCs w:val="24"/>
        </w:rPr>
      </w:pPr>
    </w:p>
    <w:p>
      <w:pPr>
        <w:widowControl/>
        <w:spacing w:line="520" w:lineRule="exact"/>
        <w:ind w:firstLine="5640" w:firstLineChars="2350"/>
        <w:rPr>
          <w:rFonts w:ascii="仿宋_GB2312" w:hAnsi="仿宋" w:eastAsia="仿宋_GB2312"/>
          <w:color w:val="000000"/>
          <w:sz w:val="24"/>
          <w:szCs w:val="24"/>
        </w:rPr>
      </w:pPr>
      <w:r>
        <w:rPr>
          <w:rFonts w:hint="eastAsia" w:ascii="仿宋_GB2312" w:eastAsia="仿宋_GB2312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 xml:space="preserve">  </w:t>
      </w:r>
      <w:r>
        <w:rPr>
          <w:rFonts w:hint="eastAsia" w:ascii="仿宋_GB2312" w:hAnsi="仿宋" w:eastAsia="仿宋_GB2312" w:cs="Calibri"/>
          <w:sz w:val="24"/>
          <w:szCs w:val="24"/>
        </w:rPr>
        <w:t xml:space="preserve">  额敏县应急管理局</w:t>
      </w:r>
    </w:p>
    <w:p>
      <w:pPr>
        <w:widowControl/>
        <w:spacing w:line="520" w:lineRule="exact"/>
        <w:ind w:firstLine="6480" w:firstLineChars="2700"/>
        <w:rPr>
          <w:rFonts w:ascii="仿宋_GB2312" w:eastAsia="仿宋_GB2312"/>
          <w:color w:val="000000"/>
          <w:kern w:val="0"/>
          <w:szCs w:val="21"/>
        </w:rPr>
      </w:pPr>
      <w:r>
        <w:rPr>
          <w:rFonts w:hint="eastAsia" w:ascii="仿宋_GB2312" w:hAnsi="仿宋" w:eastAsia="仿宋_GB2312" w:cs="仿宋"/>
          <w:color w:val="000000"/>
          <w:sz w:val="24"/>
          <w:szCs w:val="24"/>
        </w:rPr>
        <w:t>2021年</w:t>
      </w:r>
      <w:r>
        <w:rPr>
          <w:rFonts w:hint="eastAsia" w:ascii="仿宋_GB2312" w:eastAsia="仿宋_GB2312"/>
          <w:color w:val="000000"/>
          <w:kern w:val="0"/>
          <w:sz w:val="24"/>
          <w:szCs w:val="24"/>
        </w:rPr>
        <w:t>1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月1日</w:t>
      </w:r>
    </w:p>
    <w:p>
      <w:pPr>
        <w:widowControl/>
        <w:spacing w:line="200" w:lineRule="atLeast"/>
        <w:ind w:firstLine="210"/>
        <w:rPr>
          <w:rFonts w:ascii="仿宋_GB2312" w:eastAsia="仿宋_GB2312"/>
          <w:color w:val="000000"/>
          <w:kern w:val="0"/>
          <w:szCs w:val="21"/>
        </w:rPr>
      </w:pPr>
    </w:p>
    <w:p>
      <w:pPr>
        <w:widowControl/>
        <w:spacing w:line="200" w:lineRule="atLeast"/>
        <w:ind w:firstLine="210"/>
        <w:rPr>
          <w:rFonts w:ascii="仿宋_GB2312" w:eastAsia="仿宋_GB2312"/>
          <w:color w:val="000000"/>
          <w:kern w:val="0"/>
          <w:szCs w:val="21"/>
        </w:rPr>
      </w:pPr>
      <w:r>
        <w:rPr>
          <w:rFonts w:hint="eastAsia" w:ascii="仿宋_GB2312" w:eastAsia="仿宋_GB2312"/>
          <w:color w:val="000000"/>
          <w:kern w:val="0"/>
          <w:szCs w:val="21"/>
        </w:rPr>
        <w:drawing>
          <wp:inline distT="0" distB="0" distL="0" distR="0">
            <wp:extent cx="5583555" cy="27940"/>
            <wp:effectExtent l="0" t="0" r="17145" b="635"/>
            <wp:docPr id="1" name="图片 1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age00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3555" cy="2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_GB2312" w:hAnsi="仿宋" w:eastAsia="仿宋_GB2312" w:cs="仿宋"/>
          <w:color w:val="000000"/>
          <w:kern w:val="0"/>
          <w:sz w:val="24"/>
          <w:szCs w:val="24"/>
        </w:rPr>
      </w:pPr>
      <w:r>
        <w:rPr>
          <w:rFonts w:hint="eastAsia" w:ascii="仿宋_GB2312" w:hAnsi="仿宋" w:eastAsia="仿宋_GB2312" w:cs="仿宋"/>
          <w:color w:val="000000"/>
          <w:kern w:val="0"/>
          <w:sz w:val="24"/>
          <w:szCs w:val="24"/>
        </w:rPr>
        <w:t xml:space="preserve">  本文书一式两份：一份由应急管理部门备案，一份交当事人。</w:t>
      </w:r>
    </w:p>
    <w:p>
      <w:pPr>
        <w:pStyle w:val="2"/>
        <w:ind w:firstLine="480"/>
      </w:pPr>
      <w:r>
        <w:rPr>
          <w:rFonts w:hint="eastAsia" w:ascii="仿宋_GB2312" w:hAnsi="仿宋" w:cs="仿宋"/>
          <w:sz w:val="24"/>
          <w:szCs w:val="24"/>
        </w:rPr>
        <w:t xml:space="preserve">                                                   共1页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EE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2020-12-04T10:44:09Z</dcterms:created>
  <dc:creator>Administrator</dc:creator>
  <cp:lastModifiedBy>北方姑娘</cp:lastModifiedBy>
  <dcterms:modified xsi:type="dcterms:W3CDTF">2020-12-04T10:44:25Z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