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华文中宋" w:eastAsia="仿宋_GB2312" w:cs="黑体"/>
          <w:b/>
          <w:sz w:val="44"/>
          <w:szCs w:val="44"/>
        </w:rPr>
      </w:pPr>
      <w:r>
        <w:rPr>
          <w:rFonts w:hint="eastAsia" w:ascii="仿宋_GB2312" w:hAnsi="华文中宋" w:eastAsia="仿宋_GB2312" w:cs="黑体"/>
          <w:b/>
          <w:sz w:val="44"/>
          <w:szCs w:val="44"/>
        </w:rPr>
        <w:t>安全生产行政执法文书</w:t>
      </w:r>
    </w:p>
    <w:p>
      <w:pPr>
        <w:spacing w:line="560" w:lineRule="exact"/>
        <w:jc w:val="center"/>
        <w:rPr>
          <w:rFonts w:ascii="仿宋_GB2312" w:hAnsi="华文中宋" w:eastAsia="仿宋_GB2312" w:cs="黑体"/>
          <w:b/>
          <w:sz w:val="44"/>
          <w:szCs w:val="44"/>
        </w:rPr>
      </w:pPr>
      <w:r>
        <w:rPr>
          <w:rFonts w:hint="eastAsia" w:ascii="仿宋_GB2312" w:hAnsi="华文中宋" w:eastAsia="仿宋_GB2312" w:cs="黑体"/>
          <w:b/>
          <w:sz w:val="44"/>
          <w:szCs w:val="44"/>
        </w:rPr>
        <w:t>行政处罚</w:t>
      </w:r>
      <w:r>
        <w:rPr>
          <w:rFonts w:ascii="仿宋_GB2312" w:hAnsi="华文中宋" w:eastAsia="仿宋_GB2312" w:cs="黑体"/>
          <w:b/>
          <w:sz w:val="44"/>
          <w:szCs w:val="44"/>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31115</wp:posOffset>
                </wp:positionV>
                <wp:extent cx="5457825" cy="0"/>
                <wp:effectExtent l="0" t="19050" r="9525" b="19050"/>
                <wp:wrapNone/>
                <wp:docPr id="41" name="直接连接符 41"/>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round/>
                          <a:headEnd type="none" w="med" len="med"/>
                          <a:tailEnd type="none" w="med" len="med"/>
                        </a:ln>
                        <a:effectLst/>
                      </wps:spPr>
                      <wps:bodyPr upright="1"/>
                    </wps:wsp>
                  </a:graphicData>
                </a:graphic>
              </wp:anchor>
            </w:drawing>
          </mc:Choice>
          <mc:Fallback>
            <w:pict>
              <v:line id="_x0000_s1026" o:spid="_x0000_s1026" o:spt="20" style="position:absolute;left:0pt;margin-left:3pt;margin-top:2.45pt;height:0pt;width:429.75pt;z-index:251660288;mso-width-relative:page;mso-height-relative:page;" filled="f" stroked="t" coordsize="21600,21600" o:gfxdata="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wWYWqdQAAAAF&#10;AQAADwAAAAAAAAABACAAAAAiAAAAZHJzL2Rvd25yZXYueG1sUEsBAhQAFAAAAAgAh07iQJnGrU/n&#10;AQAAsQMAAA4AAAAAAAAAAQAgAAAAIwEAAGRycy9lMm9Eb2MueG1sUEsFBgAAAAAGAAYAWQEAAHwF&#10;AAAAAA==&#10;">
                <v:fill on="f" focussize="0,0"/>
                <v:stroke weight="3pt" color="#000000" linestyle="thinThin" joinstyle="round"/>
                <v:imagedata o:title=""/>
                <o:lock v:ext="edit" aspectratio="f"/>
              </v:line>
            </w:pict>
          </mc:Fallback>
        </mc:AlternateContent>
      </w:r>
      <w:r>
        <w:rPr>
          <w:rFonts w:hint="eastAsia" w:ascii="仿宋_GB2312" w:hAnsi="华文中宋" w:eastAsia="仿宋_GB2312" w:cs="黑体"/>
          <w:b/>
          <w:sz w:val="44"/>
          <w:szCs w:val="44"/>
        </w:rPr>
        <w:t>告知书</w:t>
      </w:r>
    </w:p>
    <w:p>
      <w:pPr>
        <w:spacing w:line="600" w:lineRule="exact"/>
        <w:jc w:val="center"/>
        <w:rPr>
          <w:rFonts w:ascii="仿宋_GB2312" w:hAnsi="仿宋" w:eastAsia="仿宋_GB2312"/>
          <w:sz w:val="24"/>
          <w:szCs w:val="24"/>
        </w:rPr>
      </w:pPr>
      <w:r>
        <w:rPr>
          <w:rFonts w:hint="eastAsia" w:ascii="仿宋_GB2312" w:hAnsi="仿宋" w:eastAsia="仿宋_GB2312" w:cs="仿宋"/>
          <w:sz w:val="24"/>
          <w:szCs w:val="24"/>
        </w:rPr>
        <w:t>（额）应急告〔2021〕1号</w:t>
      </w:r>
    </w:p>
    <w:p>
      <w:pPr>
        <w:spacing w:line="520" w:lineRule="exact"/>
        <w:rPr>
          <w:rFonts w:ascii="仿宋_GB2312" w:hAnsi="仿宋" w:eastAsia="仿宋_GB2312"/>
          <w:sz w:val="24"/>
          <w:szCs w:val="24"/>
        </w:rPr>
      </w:pPr>
      <w:r>
        <w:rPr>
          <w:rFonts w:hint="eastAsia" w:ascii="仿宋_GB2312" w:hAnsi="仿宋" w:eastAsia="仿宋_GB2312" w:cs="仿宋"/>
          <w:sz w:val="24"/>
          <w:szCs w:val="24"/>
          <w:u w:val="single"/>
        </w:rPr>
        <w:t xml:space="preserve">                  </w:t>
      </w:r>
      <w:r>
        <w:rPr>
          <w:rFonts w:hint="eastAsia" w:ascii="仿宋_GB2312" w:hAnsi="仿宋" w:eastAsia="仿宋_GB2312" w:cs="仿宋"/>
          <w:sz w:val="24"/>
          <w:szCs w:val="24"/>
        </w:rPr>
        <w:t>：</w:t>
      </w:r>
    </w:p>
    <w:p>
      <w:pPr>
        <w:spacing w:line="400" w:lineRule="exact"/>
        <w:ind w:firstLine="480" w:firstLineChars="200"/>
        <w:jc w:val="left"/>
        <w:rPr>
          <w:rFonts w:ascii="仿宋_GB2312" w:hAnsi="仿宋" w:eastAsia="仿宋_GB2312" w:cs="仿宋"/>
          <w:sz w:val="24"/>
          <w:szCs w:val="24"/>
          <w:u w:val="single"/>
        </w:rPr>
      </w:pPr>
      <w:r>
        <w:rPr>
          <w:rFonts w:hint="eastAsia" w:ascii="仿宋_GB2312" w:hAnsi="仿宋" w:eastAsia="仿宋_GB2312" w:cs="仿宋"/>
          <w:sz w:val="24"/>
          <w:szCs w:val="24"/>
        </w:rPr>
        <w:t>现查明，你（单位）存在下列行为：</w:t>
      </w:r>
      <w:r>
        <w:rPr>
          <w:rFonts w:hint="eastAsia" w:ascii="仿宋_GB2312" w:hAnsi="仿宋" w:eastAsia="仿宋_GB2312" w:cs="仿宋"/>
          <w:sz w:val="24"/>
          <w:szCs w:val="24"/>
          <w:u w:val="single"/>
        </w:rPr>
        <w:t>2020年×月×日，电工作业特种作业人员未持证上岗作业，本机关下达了《责令限期整改指令书》，责令限期1个月整改。6月12日，在复查中，现场发现×××、×××、×××3名从事电工作业的特种作业人员仍然未取得特种作业人员资格证正在实施电工作业，没有按期整改。</w:t>
      </w:r>
    </w:p>
    <w:p>
      <w:pPr>
        <w:spacing w:line="400" w:lineRule="exact"/>
        <w:ind w:firstLine="480" w:firstLineChars="200"/>
        <w:jc w:val="left"/>
        <w:rPr>
          <w:rFonts w:ascii="仿宋_GB2312" w:hAnsi="仿宋" w:eastAsia="仿宋_GB2312" w:cs="仿宋"/>
          <w:sz w:val="24"/>
          <w:szCs w:val="24"/>
          <w:u w:val="single"/>
        </w:rPr>
      </w:pPr>
      <w:r>
        <w:rPr>
          <w:rFonts w:hint="eastAsia" w:ascii="仿宋_GB2312" w:hAnsi="仿宋" w:eastAsia="仿宋_GB2312" w:cs="仿宋"/>
          <w:sz w:val="24"/>
          <w:szCs w:val="24"/>
        </w:rPr>
        <w:t>以上事实主要证据如下：</w:t>
      </w:r>
      <w:r>
        <w:rPr>
          <w:rFonts w:hint="eastAsia" w:ascii="仿宋_GB2312" w:hAnsi="仿宋" w:eastAsia="仿宋_GB2312" w:cs="仿宋"/>
          <w:sz w:val="24"/>
          <w:szCs w:val="24"/>
          <w:u w:val="single"/>
        </w:rPr>
        <w:t>证据一：《责令限期整改指令书》（×应急责改〔2020〕×号），证明2020年×月×日，你公司电工作业特种作业人员未持证上岗作业，同时本机关责令限期1个月整改。证据二：《整改复查意见书》（×应急复查字〔2020〕×号），证明2020年×月×日，你公司×××、×××、××× 3名电工特种作业人员未取得特种作业人员资格证正在实施电工作业，没有按期整改。证据三：《询问笔录》3份，证明×××、×××、××× 3名电工特种作业人员未取得特种作业</w:t>
      </w:r>
    </w:p>
    <w:p>
      <w:pPr>
        <w:spacing w:line="520" w:lineRule="exact"/>
        <w:ind w:firstLine="480" w:firstLineChars="200"/>
        <w:jc w:val="left"/>
        <w:rPr>
          <w:rFonts w:ascii="仿宋_GB2312" w:hAnsi="仿宋" w:eastAsia="仿宋_GB2312" w:cs="仿宋"/>
          <w:sz w:val="24"/>
          <w:szCs w:val="24"/>
          <w:u w:val="single"/>
        </w:rPr>
      </w:pPr>
      <w:r>
        <w:rPr>
          <w:rFonts w:hint="eastAsia" w:ascii="仿宋_GB2312" w:hAnsi="仿宋" w:eastAsia="仿宋_GB2312" w:cs="仿宋"/>
          <w:sz w:val="24"/>
          <w:szCs w:val="24"/>
        </w:rPr>
        <w:t>以上行为违反了</w:t>
      </w:r>
      <w:r>
        <w:rPr>
          <w:rFonts w:hint="eastAsia" w:ascii="仿宋_GB2312" w:hAnsi="仿宋" w:eastAsia="仿宋_GB2312" w:cs="仿宋"/>
          <w:sz w:val="24"/>
          <w:szCs w:val="24"/>
          <w:u w:val="single"/>
        </w:rPr>
        <w:t xml:space="preserve">                                                       </w:t>
      </w:r>
    </w:p>
    <w:p>
      <w:pPr>
        <w:spacing w:line="520" w:lineRule="exact"/>
        <w:jc w:val="left"/>
        <w:rPr>
          <w:rFonts w:ascii="仿宋_GB2312" w:hAnsi="仿宋" w:eastAsia="仿宋_GB2312"/>
          <w:sz w:val="24"/>
          <w:szCs w:val="24"/>
          <w:u w:val="single"/>
        </w:rPr>
      </w:pPr>
      <w:r>
        <w:rPr>
          <w:rFonts w:hint="eastAsia" w:ascii="仿宋_GB2312" w:hAnsi="仿宋" w:eastAsia="仿宋_GB2312" w:cs="仿宋"/>
          <w:sz w:val="24"/>
          <w:szCs w:val="24"/>
        </w:rPr>
        <w:t>的规定，依据</w:t>
      </w:r>
      <w:r>
        <w:rPr>
          <w:rFonts w:hint="eastAsia" w:ascii="仿宋_GB2312" w:hAnsi="仿宋" w:eastAsia="仿宋_GB2312" w:cs="仿宋"/>
          <w:sz w:val="24"/>
          <w:szCs w:val="24"/>
          <w:u w:val="single"/>
        </w:rPr>
        <w:t xml:space="preserve">                                             </w:t>
      </w:r>
      <w:r>
        <w:rPr>
          <w:rFonts w:hint="eastAsia" w:ascii="仿宋_GB2312" w:hAnsi="仿宋" w:eastAsia="仿宋_GB2312" w:cs="仿宋"/>
          <w:sz w:val="24"/>
          <w:szCs w:val="24"/>
        </w:rPr>
        <w:t>的规定，拟对你（单位）作出</w:t>
      </w:r>
      <w:r>
        <w:rPr>
          <w:rFonts w:hint="eastAsia" w:ascii="仿宋_GB2312" w:hAnsi="仿宋" w:eastAsia="仿宋_GB2312" w:cs="仿宋"/>
          <w:sz w:val="24"/>
          <w:szCs w:val="24"/>
          <w:u w:val="single"/>
        </w:rPr>
        <w:t xml:space="preserve">                                           </w:t>
      </w:r>
      <w:r>
        <w:rPr>
          <w:rFonts w:hint="eastAsia" w:ascii="仿宋_GB2312" w:hAnsi="仿宋" w:eastAsia="仿宋_GB2312" w:cs="仿宋"/>
          <w:sz w:val="24"/>
          <w:szCs w:val="24"/>
        </w:rPr>
        <w:t>的行政处罚。</w:t>
      </w:r>
    </w:p>
    <w:p>
      <w:pPr>
        <w:spacing w:line="520" w:lineRule="exact"/>
        <w:ind w:firstLine="480" w:firstLineChars="200"/>
        <w:rPr>
          <w:rFonts w:ascii="仿宋_GB2312" w:hAnsi="仿宋" w:eastAsia="仿宋_GB2312"/>
          <w:sz w:val="24"/>
          <w:szCs w:val="24"/>
        </w:rPr>
      </w:pPr>
      <w:r>
        <w:rPr>
          <w:rFonts w:hint="eastAsia" w:ascii="仿宋_GB2312" w:hAnsi="仿宋" w:eastAsia="仿宋_GB2312" w:cs="仿宋"/>
          <w:sz w:val="24"/>
          <w:szCs w:val="24"/>
        </w:rPr>
        <w:t>如对上述处罚有异议，根据</w:t>
      </w:r>
      <w:r>
        <w:rPr>
          <w:rFonts w:hint="eastAsia" w:ascii="仿宋_GB2312" w:hAnsi="仿宋" w:eastAsia="仿宋_GB2312" w:cs="仿宋"/>
          <w:sz w:val="24"/>
          <w:szCs w:val="24"/>
          <w:u w:val="single"/>
        </w:rPr>
        <w:t>《中华人民共和国行政处罚法》第四十</w:t>
      </w:r>
      <w:r>
        <w:rPr>
          <w:rFonts w:hint="eastAsia" w:ascii="仿宋_GB2312" w:hAnsi="仿宋" w:eastAsia="仿宋_GB2312" w:cs="仿宋"/>
          <w:sz w:val="24"/>
          <w:szCs w:val="24"/>
          <w:u w:val="single"/>
          <w:lang w:val="en-US" w:eastAsia="zh-CN"/>
        </w:rPr>
        <w:t>四</w:t>
      </w:r>
      <w:r>
        <w:rPr>
          <w:rFonts w:hint="eastAsia" w:ascii="仿宋_GB2312" w:hAnsi="仿宋" w:eastAsia="仿宋_GB2312" w:cs="仿宋"/>
          <w:sz w:val="24"/>
          <w:szCs w:val="24"/>
          <w:u w:val="single"/>
        </w:rPr>
        <w:t>条</w:t>
      </w:r>
      <w:r>
        <w:rPr>
          <w:rFonts w:hint="eastAsia" w:ascii="仿宋_GB2312" w:hAnsi="仿宋" w:eastAsia="仿宋_GB2312" w:cs="仿宋"/>
          <w:sz w:val="24"/>
          <w:szCs w:val="24"/>
          <w:u w:val="single"/>
          <w:lang w:eastAsia="zh-CN"/>
        </w:rPr>
        <w:t>、</w:t>
      </w:r>
      <w:r>
        <w:rPr>
          <w:rFonts w:hint="eastAsia" w:ascii="仿宋_GB2312" w:hAnsi="仿宋" w:eastAsia="仿宋_GB2312" w:cs="仿宋"/>
          <w:sz w:val="24"/>
          <w:szCs w:val="24"/>
          <w:u w:val="single"/>
          <w:lang w:val="en-US" w:eastAsia="zh-CN"/>
        </w:rPr>
        <w:t>四十五条</w:t>
      </w:r>
      <w:r>
        <w:rPr>
          <w:rFonts w:hint="eastAsia" w:ascii="仿宋_GB2312" w:hAnsi="仿宋" w:eastAsia="仿宋_GB2312" w:cs="仿宋"/>
          <w:sz w:val="24"/>
          <w:szCs w:val="24"/>
        </w:rPr>
        <w:t>的规定的规定，你（单位）有权在收到本告知书之日起3日内向</w:t>
      </w:r>
      <w:r>
        <w:rPr>
          <w:rFonts w:hint="eastAsia" w:ascii="仿宋_GB2312" w:hAnsi="仿宋" w:eastAsia="仿宋_GB2312" w:cs="仿宋"/>
          <w:sz w:val="24"/>
          <w:szCs w:val="24"/>
          <w:u w:val="single"/>
        </w:rPr>
        <w:t>额敏县</w:t>
      </w:r>
      <w:r>
        <w:rPr>
          <w:rFonts w:hint="eastAsia" w:ascii="仿宋_GB2312" w:hAnsi="仿宋" w:eastAsia="仿宋_GB2312" w:cs="仿宋"/>
          <w:sz w:val="24"/>
          <w:szCs w:val="24"/>
        </w:rPr>
        <w:t>应急管理部门</w:t>
      </w:r>
      <w:r>
        <w:rPr>
          <w:rFonts w:hint="eastAsia" w:ascii="仿宋_GB2312" w:hAnsi="仿宋" w:eastAsia="仿宋_GB2312" w:cs="仿宋"/>
          <w:sz w:val="24"/>
          <w:szCs w:val="24"/>
          <w:u w:val="single"/>
        </w:rPr>
        <w:t>提出书面听证申请</w:t>
      </w:r>
      <w:r>
        <w:rPr>
          <w:rFonts w:hint="eastAsia" w:ascii="仿宋_GB2312" w:hAnsi="仿宋" w:eastAsia="仿宋_GB2312" w:cs="仿宋"/>
          <w:sz w:val="24"/>
          <w:szCs w:val="24"/>
        </w:rPr>
        <w:t>，逾期不提出申请的，视为放弃上述权利。</w:t>
      </w:r>
    </w:p>
    <w:p>
      <w:pPr>
        <w:spacing w:line="520" w:lineRule="exact"/>
        <w:rPr>
          <w:rFonts w:ascii="仿宋_GB2312" w:hAnsi="仿宋" w:eastAsia="仿宋_GB2312"/>
          <w:sz w:val="24"/>
          <w:szCs w:val="24"/>
        </w:rPr>
      </w:pPr>
      <w:r>
        <w:rPr>
          <w:rFonts w:hint="eastAsia" w:ascii="仿宋_GB2312" w:hAnsi="仿宋" w:eastAsia="仿宋_GB2312" w:cs="仿宋"/>
          <w:sz w:val="24"/>
          <w:szCs w:val="24"/>
        </w:rPr>
        <w:t>应急管理部门地址：</w:t>
      </w:r>
      <w:r>
        <w:rPr>
          <w:rFonts w:hint="eastAsia" w:ascii="仿宋_GB2312" w:hAnsi="仿宋" w:eastAsia="仿宋_GB2312" w:cs="仿宋"/>
          <w:sz w:val="24"/>
          <w:szCs w:val="24"/>
          <w:u w:val="single"/>
        </w:rPr>
        <w:t>额敏县农副城东门三楼</w:t>
      </w:r>
      <w:bookmarkStart w:id="0" w:name="_GoBack"/>
      <w:bookmarkEnd w:id="0"/>
    </w:p>
    <w:p>
      <w:pPr>
        <w:spacing w:line="520" w:lineRule="exact"/>
        <w:rPr>
          <w:rFonts w:ascii="仿宋_GB2312" w:hAnsi="仿宋" w:eastAsia="仿宋_GB2312" w:cs="仿宋"/>
          <w:sz w:val="24"/>
          <w:szCs w:val="24"/>
        </w:rPr>
      </w:pPr>
      <w:r>
        <w:rPr>
          <w:rFonts w:hint="eastAsia" w:ascii="仿宋_GB2312" w:hAnsi="仿宋" w:eastAsia="仿宋_GB2312" w:cs="仿宋"/>
          <w:sz w:val="24"/>
          <w:szCs w:val="24"/>
        </w:rPr>
        <w:t>联系人：</w:t>
      </w:r>
      <w:r>
        <w:rPr>
          <w:rFonts w:hint="eastAsia" w:ascii="仿宋_GB2312" w:hAnsi="仿宋" w:eastAsia="仿宋_GB2312" w:cs="仿宋"/>
          <w:sz w:val="24"/>
          <w:szCs w:val="24"/>
          <w:u w:val="single"/>
        </w:rPr>
        <w:t xml:space="preserve"> 魏景成 </w:t>
      </w:r>
      <w:r>
        <w:rPr>
          <w:rFonts w:hint="eastAsia" w:ascii="仿宋_GB2312" w:hAnsi="仿宋" w:eastAsia="仿宋_GB2312" w:cs="仿宋"/>
          <w:sz w:val="24"/>
          <w:szCs w:val="24"/>
        </w:rPr>
        <w:t>联系电话：</w:t>
      </w:r>
      <w:r>
        <w:rPr>
          <w:rFonts w:hint="eastAsia" w:ascii="仿宋_GB2312" w:hAnsi="仿宋" w:eastAsia="仿宋_GB2312" w:cs="仿宋"/>
          <w:sz w:val="24"/>
          <w:szCs w:val="24"/>
          <w:u w:val="single"/>
        </w:rPr>
        <w:t xml:space="preserve">3349000 </w:t>
      </w:r>
      <w:r>
        <w:rPr>
          <w:rFonts w:hint="eastAsia" w:ascii="仿宋_GB2312" w:hAnsi="仿宋" w:eastAsia="仿宋_GB2312" w:cs="仿宋"/>
          <w:sz w:val="24"/>
          <w:szCs w:val="24"/>
        </w:rPr>
        <w:t>邮政编码：</w:t>
      </w:r>
      <w:r>
        <w:rPr>
          <w:rFonts w:hint="eastAsia" w:ascii="仿宋_GB2312" w:hAnsi="仿宋" w:eastAsia="仿宋_GB2312" w:cs="仿宋"/>
          <w:sz w:val="24"/>
          <w:szCs w:val="24"/>
          <w:u w:val="single"/>
        </w:rPr>
        <w:t>834600</w:t>
      </w:r>
      <w:r>
        <w:rPr>
          <w:rFonts w:hint="eastAsia" w:ascii="仿宋_GB2312" w:hAnsi="仿宋" w:eastAsia="仿宋_GB2312" w:cs="仿宋"/>
          <w:sz w:val="24"/>
          <w:szCs w:val="24"/>
        </w:rPr>
        <w:t xml:space="preserve">                          </w:t>
      </w:r>
    </w:p>
    <w:p>
      <w:pPr>
        <w:wordWrap w:val="0"/>
        <w:spacing w:line="520" w:lineRule="exact"/>
        <w:ind w:right="960" w:firstLine="480" w:firstLineChars="200"/>
        <w:jc w:val="right"/>
        <w:rPr>
          <w:rFonts w:ascii="仿宋_GB2312" w:hAnsi="仿宋" w:eastAsia="仿宋_GB2312"/>
          <w:sz w:val="24"/>
          <w:szCs w:val="24"/>
        </w:rPr>
      </w:pPr>
      <w:r>
        <w:rPr>
          <w:rFonts w:hint="eastAsia" w:ascii="仿宋_GB2312" w:hAnsi="仿宋" w:eastAsia="仿宋_GB2312" w:cs="仿宋"/>
          <w:sz w:val="24"/>
          <w:szCs w:val="24"/>
        </w:rPr>
        <w:t xml:space="preserve">    额敏县应急管理局</w:t>
      </w:r>
    </w:p>
    <w:p>
      <w:pPr>
        <w:spacing w:line="520" w:lineRule="exact"/>
        <w:ind w:firstLine="5520" w:firstLineChars="2300"/>
        <w:rPr>
          <w:rFonts w:hint="eastAsia" w:ascii="仿宋_GB2312" w:hAnsi="仿宋" w:eastAsia="仿宋_GB2312" w:cs="仿宋"/>
          <w:sz w:val="24"/>
          <w:szCs w:val="24"/>
        </w:rPr>
      </w:pPr>
      <w:r>
        <w:rPr>
          <w:rFonts w:hint="eastAsia" w:ascii="仿宋_GB2312" w:hAnsi="仿宋" w:eastAsia="仿宋_GB2312" w:cs="仿宋"/>
          <w:sz w:val="24"/>
          <w:szCs w:val="24"/>
        </w:rPr>
        <w:t>2021年1月11日</w:t>
      </w:r>
    </w:p>
    <w:p>
      <w:pPr>
        <w:pStyle w:val="2"/>
        <w:rPr>
          <w:lang w:val="en-US" w:eastAsia="zh-CN"/>
        </w:rPr>
      </w:pPr>
    </w:p>
    <w:p>
      <w:pPr>
        <w:spacing w:line="560" w:lineRule="exact"/>
        <w:ind w:firstLine="480" w:firstLineChars="200"/>
        <w:rPr>
          <w:rFonts w:hint="eastAsia" w:ascii="仿宋_GB2312" w:hAnsi="仿宋" w:eastAsia="仿宋_GB2312" w:cs="仿宋"/>
          <w:sz w:val="24"/>
          <w:szCs w:val="24"/>
        </w:rPr>
      </w:pPr>
      <w:r>
        <w:rPr>
          <w:rFonts w:ascii="仿宋_GB2312" w:eastAsia="仿宋_GB2312" w:cs="Calibri"/>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10160</wp:posOffset>
                </wp:positionV>
                <wp:extent cx="5486400" cy="0"/>
                <wp:effectExtent l="0" t="9525" r="0" b="9525"/>
                <wp:wrapNone/>
                <wp:docPr id="42" name="直接连接符 42"/>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round/>
                          <a:headEnd type="none" w="med" len="med"/>
                          <a:tailEnd type="none" w="med" len="med"/>
                        </a:ln>
                        <a:effectLst/>
                      </wps:spPr>
                      <wps:bodyPr upright="1"/>
                    </wps:wsp>
                  </a:graphicData>
                </a:graphic>
              </wp:anchor>
            </w:drawing>
          </mc:Choice>
          <mc:Fallback>
            <w:pict>
              <v:line id="_x0000_s1026" o:spid="_x0000_s1026" o:spt="20" style="position:absolute;left:0pt;margin-left:0pt;margin-top:0.8pt;height:0pt;width:432pt;z-index:251659264;mso-width-relative:page;mso-height-relative:page;" filled="f" stroked="t" coordsize="21600,21600" o:gfxdata="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knY5dAAAAAEAQAADwAA&#10;AAAAAAABACAAAAAiAAAAZHJzL2Rvd25yZXYueG1sUEsBAhQAFAAAAAgAh07iQM3/4mLlAQAAsQMA&#10;AA4AAAAAAAAAAQAgAAAAHwEAAGRycy9lMm9Eb2MueG1sUEsFBgAAAAAGAAYAWQEAAHYFAAAAAA==&#10;">
                <v:fill on="f" focussize="0,0"/>
                <v:stroke weight="1.5pt" color="#000000" joinstyle="round"/>
                <v:imagedata o:title=""/>
                <o:lock v:ext="edit" aspectratio="f"/>
              </v:line>
            </w:pict>
          </mc:Fallback>
        </mc:AlternateContent>
      </w:r>
      <w:r>
        <w:rPr>
          <w:rFonts w:hint="eastAsia" w:ascii="仿宋_GB2312" w:hAnsi="仿宋" w:eastAsia="仿宋_GB2312" w:cs="仿宋"/>
          <w:sz w:val="24"/>
          <w:szCs w:val="24"/>
        </w:rPr>
        <w:t>本文书一式两份：一份由应急管理部门备案，一份交当事人。</w:t>
      </w:r>
    </w:p>
    <w:p>
      <w:pPr>
        <w:spacing w:line="560" w:lineRule="exact"/>
        <w:ind w:firstLine="480" w:firstLineChars="200"/>
        <w:jc w:val="right"/>
        <w:rPr>
          <w:rFonts w:ascii="仿宋_GB2312" w:hAnsi="仿宋" w:eastAsia="仿宋_GB2312" w:cs="仿宋"/>
          <w:sz w:val="24"/>
          <w:szCs w:val="24"/>
        </w:rPr>
      </w:pPr>
      <w:r>
        <w:rPr>
          <w:rFonts w:hint="eastAsia" w:ascii="仿宋_GB2312" w:hAnsi="仿宋" w:eastAsia="仿宋_GB2312" w:cs="仿宋"/>
          <w:sz w:val="24"/>
          <w:szCs w:val="24"/>
        </w:rPr>
        <w:t>共1页   第1页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1B634F"/>
    <w:rsid w:val="5CA51E3C"/>
    <w:rsid w:val="6BD12CDF"/>
    <w:rsid w:val="72FF6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正文-公1"/>
    <w:basedOn w:val="1"/>
    <w:next w:val="1"/>
    <w:qFormat/>
    <w:uiPriority w:val="0"/>
    <w:pPr>
      <w:ind w:firstLine="200" w:firstLineChars="200"/>
      <w:jc w:val="left"/>
    </w:pPr>
    <w:rPr>
      <w:rFonts w:eastAsia="仿宋_GB2312"/>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2020-12-04T10:32:00Z</dcterms:created>
  <dc:creator>Administrator</dc:creator>
  <cp:lastModifiedBy>86188</cp:lastModifiedBy>
  <dcterms:modified xsi:type="dcterms:W3CDTF">2021-11-18T12:07:35Z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D8AA7D08E3FC41D4B412CAFC6BB2F41D</vt:lpwstr>
  </property>
</Properties>
</file>