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额敏县医保局2025年度涉企行政检查工作计划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为深入贯彻党中央、国务院关于进一步规范涉企行政检 查的决策部署，认真落实《国务院办公厅关于严格规范涉企 行政检查的意见》（国办发〔2024〕54号）明确的各项任务 要求。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val="en-US" w:eastAsia="zh-CN"/>
        </w:rPr>
        <w:t>额敏县医保局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不断</w:t>
      </w:r>
      <w:r>
        <w:rPr>
          <w:rFonts w:hint="eastAsia" w:ascii="仿宋_GB2312" w:hAnsi="仿宋_GB2312" w:eastAsia="仿宋_GB2312" w:cs="仿宋_GB2312"/>
          <w:sz w:val="32"/>
          <w:szCs w:val="32"/>
        </w:rPr>
        <w:t>优化医疗保障领域营商环境，加强企业参保合规性监管，依据《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社会保险法》《医疗保障基金使用监督管理条例》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、《2025年塔城地区定点医疗机构医疗保障服务协议》《2025年塔城地区定点零售药店医疗保障服务协议》</w:t>
      </w:r>
      <w:r>
        <w:rPr>
          <w:rFonts w:hint="eastAsia" w:ascii="仿宋_GB2312" w:hAnsi="仿宋_GB2312" w:eastAsia="仿宋_GB2312" w:cs="仿宋_GB2312"/>
          <w:sz w:val="32"/>
          <w:szCs w:val="32"/>
        </w:rPr>
        <w:t>及上级部门最新工作要求，制定2025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年度涉企检查计划如下：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一、检查范围及对象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职工医保参保缴费不规范企业；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投诉举报或数据筛查异常的定点医药机构关联企业；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上年度整改未到位的企业。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企业医保缴费基数、人数是否合规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是否存在选择性参保、虚构用工关系等骗取医保基金行为；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医保政策宣传及职工参保知情权落实情况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异地就医备案、生育津贴发放等高频业务合规性。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 xml:space="preserve">、检查方式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专项检查“双随机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一公开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现场核查：查阅工资表、劳动合同等原始材料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非现场检查：通过医保大数据平台筛查异常缴费数据；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联合检查：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1"/>
          <w:sz w:val="32"/>
          <w:szCs w:val="32"/>
          <w:highlight w:val="none"/>
          <w:u w:val="none" w:color="auto"/>
          <w:lang w:val="en-US" w:eastAsia="zh-CN"/>
        </w:rPr>
        <w:t>加强部门联动，信息互享，紧密协作，做到问题线速无缝移交，积极与成员单位紧密配合，真正守护好群众的“看病钱”“救命钱”。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推行“综合查一次”模式，减少重复检查；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对轻微违规行为以指导整改为主，重大违法行为依法处理；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建立检查结果季度通报机制，接受社会监督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典型案例向社会公示。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70E0B"/>
    <w:rsid w:val="227B1ECF"/>
    <w:rsid w:val="26AA29E8"/>
    <w:rsid w:val="30E2213F"/>
    <w:rsid w:val="54635535"/>
    <w:rsid w:val="6326347D"/>
    <w:rsid w:val="6B492476"/>
    <w:rsid w:val="6D2E7384"/>
    <w:rsid w:val="7D1E3D4F"/>
    <w:rsid w:val="7E91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2025-05-22T05:14:00Z</dcterms:created>
  <dc:creator>aaaa</dc:creator>
  <cp:lastModifiedBy>Administrator</cp:lastModifiedBy>
  <dcterms:modified xsi:type="dcterms:W3CDTF">2025-08-21T08:32:31Z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