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额敏县玉什喀拉苏镇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2025年度政府信息公开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依据《中华人民共和国政府信息公开条例》（国务院令第711号）、《国务院办公厅政府信息与政务公开办公室关于印发〈中华人民共和国政府信息公开工作年度报告格式〉的通知》（国办公开办函〔2021〕30号）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。报告中数据统计期限为2025年1月1日至2025年12月31日。如对本报告有疑问，请与额敏县玉什喀拉苏镇联系（地址：额敏县玉什喀拉苏镇；邮编：834606；联系方式：17799011900）。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2025年，额敏县玉什喀拉苏镇坚持以人民为中心的发展思想，深入贯彻落实上级政务公开工作部署，围绕群众需求、重点工作，扎实推进政府信息公开各项工作，全年未发生因政府信息公开失当被追责的情形。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（一）主动公开扎实推进。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聚焦群众生产生活密切相关的重点领域，扩大信息公开面，全年累计主动公开信息107条。重点公开社会保障、社会救助、就业创业、惠民惠农资金发放、安全生产、人居环境整治、乡村振兴等领域政策文件及落实成效，其中乡村振兴、生态环境保护相关信息17条，惠民惠农政策及资金发放信息66条。开展线下政策宣讲活动18场，覆盖群众5000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（二）依申请公开规范办理。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规范依申请公开办理流程，畅通线上线下申请渠道，公开申请受理方式、通信地址和联系电话，方便群众提交申请。2025年共收到政府信息公开申请0件。全年未发生拒收、拖延、敷衍办理申请的情况，未出现因依申请公开答复不当引发的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（三）政府信息管理不断规范。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面落实《额敏县“三审三校”制度》《额敏县人民政府信息公开指南》等制度，层层压实审核责任，筑牢涉密涉敏信息防护防线，开展政府信息动态清理工作，对超期失效、内容滞后等的冗余信息开展排查整治，累计清理各类无效信息56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（四）公开平台协同共建。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“线上为主、线下补充”的公开体系。全年回复群众咨询30条；线下以政务服务大厅为主，村公示栏为延伸，完善政策查阅、申请受理、现场咨询等一体化服务功能，更新村公示栏信息96条。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（五）监督保障持续强化。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强化日常督导。定期对信息公开工作开展自查自纠，及时发现并整改问题。二是提升业务能力。组织干部业务学习6次，全面提升干部专业素养和履职能力。三是畅通社会监督渠道，公开投诉举报电话和邮箱，落实社会评议制度，主动听取群众意见建议，全年未收到相关投诉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三、收到和处理政府信息公开申请情况</w:t>
      </w:r>
    </w:p>
    <w:tbl>
      <w:tblPr>
        <w:tblStyle w:val="7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Header/>
          <w:jc w:val="center"/>
        </w:trPr>
        <w:tc>
          <w:tcPr>
            <w:tcW w:w="473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2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法人或其他组织</w:t>
            </w:r>
          </w:p>
        </w:tc>
        <w:tc>
          <w:tcPr>
            <w:tcW w:w="5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其他</w:t>
            </w:r>
          </w:p>
        </w:tc>
        <w:tc>
          <w:tcPr>
            <w:tcW w:w="5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pacing w:val="-17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pacing w:val="-17"/>
                <w:sz w:val="21"/>
                <w:szCs w:val="21"/>
              </w:rPr>
              <w:t>本年度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办理结果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（三）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不予公开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4.保护第三方合法权益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5.属于三类内部事务信息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6.属于四类过程性信息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7.属于行政执法案卷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8.属于行政查询事项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（四）无法提供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</w:t>
            </w:r>
            <w:r>
              <w:rPr>
                <w:rFonts w:hint="default" w:ascii="Nimbus Roman" w:hAnsi="Nimbus Roman" w:eastAsia="宋体" w:cs="Nimbus Roman"/>
                <w:spacing w:val="-6"/>
                <w:sz w:val="21"/>
                <w:szCs w:val="21"/>
              </w:rPr>
              <w:t>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（五）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不予处理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4.</w:t>
            </w:r>
            <w:r>
              <w:rPr>
                <w:rFonts w:hint="default" w:ascii="Nimbus Roman" w:hAnsi="Nimbus Roman" w:eastAsia="宋体" w:cs="Nimbus Roman"/>
                <w:vanish w:val="0"/>
                <w:spacing w:val="-6"/>
                <w:w w:val="100"/>
                <w:sz w:val="21"/>
                <w:szCs w:val="21"/>
                <w:u w:val="none"/>
              </w:rPr>
              <w:t>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" w:hAnsi="Nimbus Roman" w:eastAsia="宋体" w:cs="Nimbus Roman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7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</w:t>
            </w:r>
            <w:r>
              <w:rPr>
                <w:rFonts w:hint="default" w:ascii="Nimbus Roman" w:hAnsi="Nimbus Roman" w:eastAsia="宋体" w:cs="Nimbus Roman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Nimbus Roman" w:hAnsi="Nimbus Roman" w:eastAsia="宋体" w:cs="Nimbus Roman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存在的问题：一是缺乏对政策的解读。二是公开形式创新性不够，存在局限性。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针对以上存在问题，额敏县玉什喀拉苏镇将从以下方面改进。一是丰富政策解读形式，对涉及民生的重要政策，同步发布图文解读、问答解读，清晰说明政策背景、适用范围、办理流程等，方便群众理解。二是积极运用微信公众号、短视频平台等新媒体，发布通俗易懂、生动直观的公开信息，增加线下政策宣讲、咨询活动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，额敏县玉什喀拉苏镇严格落实按照&lt;&lt;国务院办公厅关于印发&lt;政府信息公开信息处理费管理办法&gt;的通知&gt;&gt;(国办函(2020)109号)相关要求，依法依规开展政府信息公开工作，全年未产生任何信息公开处理费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中共额敏县玉什喀拉苏镇</w:t>
      </w:r>
    </w:p>
    <w:p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2026年1月26日</w:t>
      </w:r>
    </w:p>
    <w:sectPr>
      <w:pgSz w:w="11906" w:h="16838"/>
      <w:pgMar w:top="1928" w:right="1531" w:bottom="1417" w:left="153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F030C"/>
    <w:rsid w:val="01E05C9F"/>
    <w:rsid w:val="0930695B"/>
    <w:rsid w:val="110D0A69"/>
    <w:rsid w:val="199A0FAA"/>
    <w:rsid w:val="1BC91112"/>
    <w:rsid w:val="227F030C"/>
    <w:rsid w:val="23C943F4"/>
    <w:rsid w:val="27E93F66"/>
    <w:rsid w:val="34251919"/>
    <w:rsid w:val="36763356"/>
    <w:rsid w:val="3E7D0095"/>
    <w:rsid w:val="41FF4BD9"/>
    <w:rsid w:val="46FC2B78"/>
    <w:rsid w:val="4B034DF9"/>
    <w:rsid w:val="506A6297"/>
    <w:rsid w:val="562245AA"/>
    <w:rsid w:val="5667097F"/>
    <w:rsid w:val="590734F6"/>
    <w:rsid w:val="5CCB26AC"/>
    <w:rsid w:val="6D8F7AE1"/>
    <w:rsid w:val="6DE315A0"/>
    <w:rsid w:val="797A33AB"/>
    <w:rsid w:val="7FCB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2279</Words>
  <Characters>2368</Characters>
  <Lines>0</Lines>
  <Paragraphs>0</Paragraphs>
  <TotalTime>6</TotalTime>
  <ScaleCrop>false</ScaleCrop>
  <LinksUpToDate>false</LinksUpToDate>
  <CharactersWithSpaces>2406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2026-01-26T10:18:00Z</dcterms:created>
  <dc:creator>芙</dc:creator>
  <cp:lastModifiedBy>Administrator</cp:lastModifiedBy>
  <dcterms:modified xsi:type="dcterms:W3CDTF">2026-01-30T02:49:00Z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9A9F605579E742E7AA13630563C60818_13</vt:lpwstr>
  </property>
  <property fmtid="{D5CDD505-2E9C-101B-9397-08002B2CF9AE}" pid="4" name="KSOTemplateDocerSaveRecord">
    <vt:lpwstr>eyJoZGlkIjoiY2E0MWY5MTE2OWU1ZmFlYTdhNTRkMDYzNWQ5NWI5MjMiLCJ1c2VySWQiOiI5MDIzMzY4MjEifQ==</vt:lpwstr>
  </property>
</Properties>
</file>