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额敏县水利局2025年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本报告根据《中华人民共和国政府信息公开条例》(国务院令第711号)、《关于印发&lt;中华人民共和国政府信息公开工作年度报告格式&gt;的通知》(国办公开办函(2021)30号)要求编制。报告全文包括总体情况、主动公开政府信息情况、收到和处理政府信息公开申请情况、因政府信息公开工作被申请行政复议和提起行政诉讼情况、政府信息公开工作存在的主要问题及改进情况,以及其他需要报告的事项六个部分。报告统计期限为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年1月1日至202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年12月31日。如对本报告有疑问，请与额敏县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水利局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办公室联系(地址:额敏县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文化路022号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;邮编834600:电话:0901-334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2116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水利局在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政府的正确领导下，，认真贯彻执行《中华人民共和国政府信息公开条例》，严格按照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上级部门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对政府信息公开工作的具体部署要求，不断夯实工作基础，扎实做好政务信息公开工作，为全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水利经济社会高质量发展营造良好氛围。主要通过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门户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发放宣传资料等方式主动公开近期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要实施及已经实施的水利工作重点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动态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(一)主动公开情况。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水利局认真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本单位应主动公开的其他政府信息的公开工作，紧紧围绕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塔城地区公共信用信息平台、额敏县人民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政府网站、政务公开宣传栏、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政务新</w:t>
      </w:r>
      <w:r>
        <w:rPr>
          <w:rFonts w:hint="eastAsia" w:ascii="仿宋_GB2312" w:hAnsi="仿宋_GB2312" w:eastAsia="仿宋_GB2312" w:cs="仿宋_GB2312"/>
          <w:sz w:val="32"/>
          <w:szCs w:val="32"/>
        </w:rPr>
        <w:t>媒体等多种渠道和形式，严格做好重点领域政府信息公开工作。针对重大水利工程建设、农村饮水安全保障以及违法取水乱象整治等重点领域，及时公开，保障人民群众知情权，截止202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额敏县水利局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主动公开和更新各类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(二)依申请公开情况。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水利局高度重视依申请公开工作，按照《中华人民共和国政府信息公开条例》的要求，全面做好依申请公开工作。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未收到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政府信息公开申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收到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因政府信息公开引起的行政复议0件、行政诉讼0件。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(三)政府信息管理情况。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水利局严格遵循先审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</w:rPr>
        <w:t>、后公开、谁公开、谁负责的原则，安排专人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负责本部门政府信息公开相关工作，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实行政府信息工作常态化工作机制，同时严格落实政务信息公开保密审查制度，信息公开前经科室负责人、分管领导、主要领导“三层把关”，切实做到依法公开、依规公开、依程序公开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同时确保信息及时、准确、全面、高效。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(四)平台建设情况。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水利局根据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在依托额敏县政府门户网站进行政务信息公开的同时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开设了微信视频号(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记录水利故事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)，作为政府信息公开渠道之一，及时公开工作动态，发布水利政务信息、便民服务信息，主动向社会公布水利政策便民服务等信息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截至202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年底，微信视频号关注量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(五)监督保障情况。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水利局严格按照“公开为原则、不公开为例外”的要求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做好保密工作，做到“上网信息不涉密，涉密信息不上网”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所有公开信息都自觉接受社会公众和新闻媒体的监督，广泛听取社会各界的意见和建议，充分发挥社会评议作用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认真落实群众的评议意见建议，对工作进行认真整改，确保意见建议落到实处。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二、主动公开政府信息情况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2"/>
        <w:gridCol w:w="2200"/>
        <w:gridCol w:w="1803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本年制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发件数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废止件数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三、收到和处理政府信息公开申请情况</w:t>
      </w:r>
    </w:p>
    <w:tbl>
      <w:tblPr>
        <w:tblStyle w:val="5"/>
        <w:tblW w:w="9055" w:type="dxa"/>
        <w:jc w:val="center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009"/>
        <w:gridCol w:w="2979"/>
        <w:gridCol w:w="491"/>
        <w:gridCol w:w="703"/>
        <w:gridCol w:w="703"/>
        <w:gridCol w:w="703"/>
        <w:gridCol w:w="703"/>
        <w:gridCol w:w="514"/>
        <w:gridCol w:w="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35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32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tblHeader/>
          <w:jc w:val="center"/>
        </w:trPr>
        <w:tc>
          <w:tcPr>
            <w:tcW w:w="4735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9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自然人</w:t>
            </w:r>
          </w:p>
        </w:tc>
        <w:tc>
          <w:tcPr>
            <w:tcW w:w="3326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法人或其他组织</w:t>
            </w:r>
          </w:p>
        </w:tc>
        <w:tc>
          <w:tcPr>
            <w:tcW w:w="503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735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商业企业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科研机构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社会公益组织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法律服务机构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</w:t>
            </w:r>
          </w:p>
        </w:tc>
        <w:tc>
          <w:tcPr>
            <w:tcW w:w="503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735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735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三、本年度办理结果</w:t>
            </w: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（一）予以公开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11"/>
                <w:w w:val="100"/>
                <w:sz w:val="24"/>
                <w:szCs w:val="24"/>
                <w:u w:val="none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11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11"/>
                <w:w w:val="100"/>
                <w:sz w:val="24"/>
                <w:szCs w:val="24"/>
                <w:u w:val="none"/>
              </w:rPr>
              <w:t>不予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11"/>
                <w:w w:val="100"/>
                <w:sz w:val="24"/>
                <w:szCs w:val="24"/>
                <w:u w:val="none"/>
              </w:rPr>
              <w:t>公开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.属于国家秘密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.其他法律行政法规禁止公开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.危及“三安全一稳定”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.保护第三方合法权益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.属于三类内部事务信息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.属于四类过程性信息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.属于行政执法案卷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.属于行政查询事项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（四）无法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.本机关不掌握相关政府信息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.没有现成信息需要另行制作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补正后申请内容仍不明确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（五）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不予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.信访举报投诉类申请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.要求提供公开出版物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outline w:val="0"/>
                <w:shadow w:val="0"/>
                <w:emboss w:val="0"/>
                <w:imprint w:val="0"/>
                <w:vanish w:val="0"/>
                <w:spacing w:val="-6"/>
                <w:w w:val="100"/>
                <w:sz w:val="24"/>
                <w:szCs w:val="24"/>
                <w:u w:val="none"/>
              </w:rPr>
              <w:t>无正当理由大量反复申请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OLE_LINK1" w:colFirst="3" w:colLast="9"/>
          </w:p>
        </w:tc>
        <w:tc>
          <w:tcPr>
            <w:tcW w:w="1009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.要求行政机关确认或重新出具已获取信息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747" w:type="dxa"/>
            <w:vMerge w:val="restart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三、本年度办理结果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（六）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.申请人无正当理由逾期不补正、行政机关不再处理其政府信息公开申请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  <w:jc w:val="center"/>
        </w:trPr>
        <w:tc>
          <w:tcPr>
            <w:tcW w:w="747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.申请人逾期未按收费通知要求缴纳费用、行政机关不再处理其政府信息公开申请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.其他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7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（七）总计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735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四、结转下年度继续办理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四、政府信息公开行政复议、行政诉讼情况</w:t>
      </w:r>
    </w:p>
    <w:tbl>
      <w:tblPr>
        <w:tblStyle w:val="5"/>
        <w:tblW w:w="9058" w:type="dxa"/>
        <w:jc w:val="center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25"/>
        <w:gridCol w:w="542"/>
        <w:gridCol w:w="525"/>
        <w:gridCol w:w="598"/>
        <w:gridCol w:w="607"/>
        <w:gridCol w:w="558"/>
        <w:gridCol w:w="687"/>
        <w:gridCol w:w="591"/>
        <w:gridCol w:w="721"/>
        <w:gridCol w:w="687"/>
        <w:gridCol w:w="638"/>
        <w:gridCol w:w="638"/>
        <w:gridCol w:w="638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72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行政复议</w:t>
            </w:r>
          </w:p>
        </w:tc>
        <w:tc>
          <w:tcPr>
            <w:tcW w:w="6336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54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9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计</w:t>
            </w:r>
          </w:p>
        </w:tc>
        <w:tc>
          <w:tcPr>
            <w:tcW w:w="316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未经复议直接起诉</w:t>
            </w:r>
          </w:p>
        </w:tc>
        <w:tc>
          <w:tcPr>
            <w:tcW w:w="317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532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54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总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计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 xml:space="preserve">   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结果维持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结果纠正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其他结果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尚未审结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五、存在的主要问题及改进情况</w:t>
      </w:r>
    </w:p>
    <w:p>
      <w:pPr>
        <w:spacing w:line="560" w:lineRule="exact"/>
        <w:ind w:firstLine="636" w:firstLineChars="199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年，额敏县水利局政府信息公开工作虽然取得了一定成效，但还存在几点不足: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从事政务公开具体工作人员，业务能力有待进一步规范加强。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涉及公众切身利益的政策解读形式比较单一。</w:t>
      </w:r>
    </w:p>
    <w:p>
      <w:pPr>
        <w:spacing w:line="560" w:lineRule="exact"/>
        <w:ind w:firstLine="636" w:firstLineChars="19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针对上述问题，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水利局将从以下几方面不断加强和改进政务公开工作: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加大队伍建设力度。加强对政务信息公开人员的培训力度，积极主动与上级部门沟通学习，提高工作能力。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加强重要政策措施解读，拓宽解读渠道，多采用图片，视频和问答等多种形式精准解读各项水利政策措施，提高政策解读质量。</w:t>
      </w:r>
    </w:p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六、其他需要报告的事项</w:t>
      </w:r>
    </w:p>
    <w:p>
      <w:pPr>
        <w:spacing w:line="560" w:lineRule="exact"/>
        <w:ind w:firstLine="636" w:firstLineChars="199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额敏县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水利局按照《国务院办公厅关于印发&lt;政府信息公开信息处理费管理办法&gt;的通知》(国办函(2020)109号)规定的按件、按量收费标准，本年度未产生信息公开处理费。</w:t>
      </w:r>
    </w:p>
    <w:p>
      <w:pPr>
        <w:spacing w:line="560" w:lineRule="exact"/>
        <w:ind w:firstLine="636" w:firstLineChars="199"/>
        <w:jc w:val="right"/>
        <w:rPr>
          <w:rFonts w:hint="eastAsia" w:ascii="仿宋_GB2312" w:hAnsi="宋体" w:eastAsia="仿宋_GB2312" w:cs="宋体"/>
          <w:sz w:val="32"/>
          <w:szCs w:val="32"/>
          <w:lang w:eastAsia="zh-CN"/>
        </w:rPr>
      </w:pPr>
    </w:p>
    <w:p>
      <w:pPr>
        <w:spacing w:line="560" w:lineRule="exact"/>
        <w:ind w:firstLine="636" w:firstLineChars="199"/>
        <w:jc w:val="right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额敏县水利局</w:t>
      </w:r>
    </w:p>
    <w:p>
      <w:pPr>
        <w:spacing w:line="560" w:lineRule="exact"/>
        <w:ind w:firstLine="636" w:firstLineChars="199"/>
        <w:jc w:val="right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2026年1月23日</w:t>
      </w:r>
      <w:bookmarkStart w:id="1" w:name="_GoBack"/>
      <w:bookmarkEnd w:id="1"/>
    </w:p>
    <w:sectPr>
      <w:footerReference r:id="rId3" w:type="default"/>
      <w:pgSz w:w="11906" w:h="16838"/>
      <w:pgMar w:top="1984" w:right="1531" w:bottom="1701" w:left="1531" w:header="851" w:footer="1417" w:gutter="0"/>
      <w:paperSrc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Rn+vp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16BC5"/>
    <w:multiLevelType w:val="singleLevel"/>
    <w:tmpl w:val="47316BC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26696"/>
    <w:rsid w:val="0AAC7028"/>
    <w:rsid w:val="0DBE5485"/>
    <w:rsid w:val="0FB1ED13"/>
    <w:rsid w:val="0FF91B8C"/>
    <w:rsid w:val="118F00A1"/>
    <w:rsid w:val="11BE79EC"/>
    <w:rsid w:val="12460433"/>
    <w:rsid w:val="125B05EA"/>
    <w:rsid w:val="14E653E9"/>
    <w:rsid w:val="15FB8EA7"/>
    <w:rsid w:val="17F90D9B"/>
    <w:rsid w:val="1BF9075A"/>
    <w:rsid w:val="1D577EA2"/>
    <w:rsid w:val="1DBDFBC9"/>
    <w:rsid w:val="1EA15B68"/>
    <w:rsid w:val="1FDB8C67"/>
    <w:rsid w:val="22623FE9"/>
    <w:rsid w:val="2DBFBC40"/>
    <w:rsid w:val="2DFDE716"/>
    <w:rsid w:val="2E7B3A54"/>
    <w:rsid w:val="2F6DEC47"/>
    <w:rsid w:val="2FDF01AE"/>
    <w:rsid w:val="2FF4864B"/>
    <w:rsid w:val="2FFB22A4"/>
    <w:rsid w:val="33476133"/>
    <w:rsid w:val="33D714C0"/>
    <w:rsid w:val="34BBC352"/>
    <w:rsid w:val="35FD630A"/>
    <w:rsid w:val="369EAFAC"/>
    <w:rsid w:val="37E6ECC8"/>
    <w:rsid w:val="37FFDA62"/>
    <w:rsid w:val="3AFF2EE8"/>
    <w:rsid w:val="3BDABEC6"/>
    <w:rsid w:val="3BF54923"/>
    <w:rsid w:val="3BFF17F9"/>
    <w:rsid w:val="3CD17A6D"/>
    <w:rsid w:val="3D7F7DD5"/>
    <w:rsid w:val="3DFE6730"/>
    <w:rsid w:val="3DFF1F5B"/>
    <w:rsid w:val="3EAB0813"/>
    <w:rsid w:val="3ECDB389"/>
    <w:rsid w:val="3F9713AE"/>
    <w:rsid w:val="3FBE452B"/>
    <w:rsid w:val="45FF8569"/>
    <w:rsid w:val="495FD348"/>
    <w:rsid w:val="4AFE2542"/>
    <w:rsid w:val="4B476D29"/>
    <w:rsid w:val="4DF5448C"/>
    <w:rsid w:val="4E5D3FAD"/>
    <w:rsid w:val="4ED3CC05"/>
    <w:rsid w:val="4EE7823E"/>
    <w:rsid w:val="4EE8308F"/>
    <w:rsid w:val="4F7F0F6C"/>
    <w:rsid w:val="510D3AB3"/>
    <w:rsid w:val="528E066A"/>
    <w:rsid w:val="53FDAC02"/>
    <w:rsid w:val="53FFBDEB"/>
    <w:rsid w:val="54BF66A9"/>
    <w:rsid w:val="55FE89AF"/>
    <w:rsid w:val="569A1EF6"/>
    <w:rsid w:val="569BCBE4"/>
    <w:rsid w:val="56D82EC1"/>
    <w:rsid w:val="56F75819"/>
    <w:rsid w:val="573D23C5"/>
    <w:rsid w:val="57ABD0BC"/>
    <w:rsid w:val="582E649D"/>
    <w:rsid w:val="588F9D8D"/>
    <w:rsid w:val="59091F36"/>
    <w:rsid w:val="5AFEA431"/>
    <w:rsid w:val="5B0F0C9E"/>
    <w:rsid w:val="5BDBA9BF"/>
    <w:rsid w:val="5CA772BC"/>
    <w:rsid w:val="5D3EFB57"/>
    <w:rsid w:val="5DB52F95"/>
    <w:rsid w:val="5DEA2796"/>
    <w:rsid w:val="5E77C89D"/>
    <w:rsid w:val="5EDFBC86"/>
    <w:rsid w:val="5EEE0E0E"/>
    <w:rsid w:val="5EFFF25A"/>
    <w:rsid w:val="5F5B3921"/>
    <w:rsid w:val="5FBD29CB"/>
    <w:rsid w:val="5FBF7A07"/>
    <w:rsid w:val="5FFFB2CA"/>
    <w:rsid w:val="63EB0F43"/>
    <w:rsid w:val="63F51A12"/>
    <w:rsid w:val="666F524E"/>
    <w:rsid w:val="67800A09"/>
    <w:rsid w:val="67FC9BDC"/>
    <w:rsid w:val="69C253C8"/>
    <w:rsid w:val="69FECB58"/>
    <w:rsid w:val="6A502537"/>
    <w:rsid w:val="6ADF26F4"/>
    <w:rsid w:val="6BDF79B6"/>
    <w:rsid w:val="6BF7ACEA"/>
    <w:rsid w:val="6BFE896C"/>
    <w:rsid w:val="6EE57227"/>
    <w:rsid w:val="6EEFE970"/>
    <w:rsid w:val="6EFE2D9F"/>
    <w:rsid w:val="6FDF5FD4"/>
    <w:rsid w:val="6FF96D33"/>
    <w:rsid w:val="73BF1F48"/>
    <w:rsid w:val="73FA93CF"/>
    <w:rsid w:val="73FB804A"/>
    <w:rsid w:val="74772C9E"/>
    <w:rsid w:val="75B7F74D"/>
    <w:rsid w:val="76B785F1"/>
    <w:rsid w:val="774E65D4"/>
    <w:rsid w:val="77D970E5"/>
    <w:rsid w:val="77DFF527"/>
    <w:rsid w:val="77FC4B6E"/>
    <w:rsid w:val="77FD1A6A"/>
    <w:rsid w:val="77FF625D"/>
    <w:rsid w:val="7A5F28C2"/>
    <w:rsid w:val="7AFF576F"/>
    <w:rsid w:val="7AFFB878"/>
    <w:rsid w:val="7B7708EE"/>
    <w:rsid w:val="7BC6063A"/>
    <w:rsid w:val="7BCFBD38"/>
    <w:rsid w:val="7BF2FDC5"/>
    <w:rsid w:val="7BFC57ED"/>
    <w:rsid w:val="7BFF4374"/>
    <w:rsid w:val="7C96545E"/>
    <w:rsid w:val="7D4F3E3E"/>
    <w:rsid w:val="7D5FEFA5"/>
    <w:rsid w:val="7D6CD867"/>
    <w:rsid w:val="7D764056"/>
    <w:rsid w:val="7D7DBA64"/>
    <w:rsid w:val="7D9FC4D8"/>
    <w:rsid w:val="7DFED623"/>
    <w:rsid w:val="7DFF4180"/>
    <w:rsid w:val="7E7538F9"/>
    <w:rsid w:val="7EB8C56E"/>
    <w:rsid w:val="7EB928EB"/>
    <w:rsid w:val="7EBFF697"/>
    <w:rsid w:val="7EFC0E7B"/>
    <w:rsid w:val="7EFC9B8D"/>
    <w:rsid w:val="7EFE4EAD"/>
    <w:rsid w:val="7EFF7404"/>
    <w:rsid w:val="7EFFC735"/>
    <w:rsid w:val="7F50710A"/>
    <w:rsid w:val="7F6F1D4B"/>
    <w:rsid w:val="7F748D63"/>
    <w:rsid w:val="7F77B9DA"/>
    <w:rsid w:val="7F9F6549"/>
    <w:rsid w:val="7FAF5D99"/>
    <w:rsid w:val="7FB47235"/>
    <w:rsid w:val="7FBEEAAC"/>
    <w:rsid w:val="7FBFA13F"/>
    <w:rsid w:val="7FCBBEBA"/>
    <w:rsid w:val="7FEEAFD2"/>
    <w:rsid w:val="7FEF8F94"/>
    <w:rsid w:val="7FEFDD07"/>
    <w:rsid w:val="7FF07130"/>
    <w:rsid w:val="7FF99BD5"/>
    <w:rsid w:val="7FF9F85E"/>
    <w:rsid w:val="7FFB59C1"/>
    <w:rsid w:val="7FFE0B86"/>
    <w:rsid w:val="7FFF7799"/>
    <w:rsid w:val="7FFF8484"/>
    <w:rsid w:val="7FFFEEE5"/>
    <w:rsid w:val="8BFEFC87"/>
    <w:rsid w:val="90FBB6AE"/>
    <w:rsid w:val="92DDA34E"/>
    <w:rsid w:val="93FCA4F3"/>
    <w:rsid w:val="96FD0614"/>
    <w:rsid w:val="9BFF7797"/>
    <w:rsid w:val="9E4E6617"/>
    <w:rsid w:val="9EC78753"/>
    <w:rsid w:val="9FAAAD1E"/>
    <w:rsid w:val="9FAD36FF"/>
    <w:rsid w:val="9FBFF697"/>
    <w:rsid w:val="9FFA9AFD"/>
    <w:rsid w:val="9FFB8AD4"/>
    <w:rsid w:val="A7F51AF6"/>
    <w:rsid w:val="A7FEB3B1"/>
    <w:rsid w:val="AAFF459F"/>
    <w:rsid w:val="ABEE8AF0"/>
    <w:rsid w:val="ADDE413E"/>
    <w:rsid w:val="ADFF1E01"/>
    <w:rsid w:val="B8DCC92C"/>
    <w:rsid w:val="BAB13A0D"/>
    <w:rsid w:val="BBD77E1F"/>
    <w:rsid w:val="BBEFE269"/>
    <w:rsid w:val="BBFBA881"/>
    <w:rsid w:val="BCF75867"/>
    <w:rsid w:val="BCFF9D6E"/>
    <w:rsid w:val="BD1BC2C7"/>
    <w:rsid w:val="BD7690B0"/>
    <w:rsid w:val="BDBFA14F"/>
    <w:rsid w:val="BDEEC5E1"/>
    <w:rsid w:val="BEF34AD8"/>
    <w:rsid w:val="BEF3D2E6"/>
    <w:rsid w:val="BEFFB7D0"/>
    <w:rsid w:val="BF22C904"/>
    <w:rsid w:val="BF3BD795"/>
    <w:rsid w:val="BFDF0F8C"/>
    <w:rsid w:val="BFEF4541"/>
    <w:rsid w:val="BFF7D9D8"/>
    <w:rsid w:val="BFFA78D4"/>
    <w:rsid w:val="BFFC642A"/>
    <w:rsid w:val="C67B7F41"/>
    <w:rsid w:val="C6FF2F6B"/>
    <w:rsid w:val="CB340FF9"/>
    <w:rsid w:val="CBFFFECB"/>
    <w:rsid w:val="CF5F3C76"/>
    <w:rsid w:val="CFC37AE3"/>
    <w:rsid w:val="CFCF4378"/>
    <w:rsid w:val="CFEF33B0"/>
    <w:rsid w:val="CFF65123"/>
    <w:rsid w:val="CFF8DECE"/>
    <w:rsid w:val="D73AD7DC"/>
    <w:rsid w:val="DAF7B794"/>
    <w:rsid w:val="DCFFC7DA"/>
    <w:rsid w:val="DD27EE3C"/>
    <w:rsid w:val="DDBA4366"/>
    <w:rsid w:val="DDFBF5DC"/>
    <w:rsid w:val="DE11FC53"/>
    <w:rsid w:val="DE6F9D4D"/>
    <w:rsid w:val="DE7D17E3"/>
    <w:rsid w:val="DE7FE1BC"/>
    <w:rsid w:val="DEBF8F76"/>
    <w:rsid w:val="DF7ED54A"/>
    <w:rsid w:val="DF97DC17"/>
    <w:rsid w:val="DFBDD0B0"/>
    <w:rsid w:val="DFC35436"/>
    <w:rsid w:val="DFCBD6AE"/>
    <w:rsid w:val="DFD7763D"/>
    <w:rsid w:val="DFD96B7E"/>
    <w:rsid w:val="DFEDC74E"/>
    <w:rsid w:val="DFF55861"/>
    <w:rsid w:val="DFF69220"/>
    <w:rsid w:val="DFF6FC90"/>
    <w:rsid w:val="DFFE273C"/>
    <w:rsid w:val="DFFF4100"/>
    <w:rsid w:val="E3379851"/>
    <w:rsid w:val="E3BDB839"/>
    <w:rsid w:val="E4FFDC32"/>
    <w:rsid w:val="E53B485A"/>
    <w:rsid w:val="E5B7C707"/>
    <w:rsid w:val="E657A35C"/>
    <w:rsid w:val="E65DCF39"/>
    <w:rsid w:val="E7B66ED8"/>
    <w:rsid w:val="E7FBEB55"/>
    <w:rsid w:val="E9FEA61A"/>
    <w:rsid w:val="EB76D68E"/>
    <w:rsid w:val="EBB9FF58"/>
    <w:rsid w:val="EBF6182D"/>
    <w:rsid w:val="EBFFD9A2"/>
    <w:rsid w:val="EC6DDFA3"/>
    <w:rsid w:val="ECF73D77"/>
    <w:rsid w:val="EDFE06ED"/>
    <w:rsid w:val="EDFE3535"/>
    <w:rsid w:val="EDFFB8CE"/>
    <w:rsid w:val="EE7BDC30"/>
    <w:rsid w:val="EEE94709"/>
    <w:rsid w:val="EF5BEFA1"/>
    <w:rsid w:val="EFF11AC6"/>
    <w:rsid w:val="F0D74422"/>
    <w:rsid w:val="F1FF93C6"/>
    <w:rsid w:val="F2F7A314"/>
    <w:rsid w:val="F33F86FA"/>
    <w:rsid w:val="F3EF72B4"/>
    <w:rsid w:val="F3F7F6FB"/>
    <w:rsid w:val="F551BBA4"/>
    <w:rsid w:val="F55F552F"/>
    <w:rsid w:val="F56FE98B"/>
    <w:rsid w:val="F5F7AECF"/>
    <w:rsid w:val="F5FB699F"/>
    <w:rsid w:val="F67B4ABB"/>
    <w:rsid w:val="F6FD0327"/>
    <w:rsid w:val="F73FD98A"/>
    <w:rsid w:val="F785B677"/>
    <w:rsid w:val="F79BFADD"/>
    <w:rsid w:val="F7ADB44B"/>
    <w:rsid w:val="F7BB17D9"/>
    <w:rsid w:val="F7E773A7"/>
    <w:rsid w:val="F7F3D891"/>
    <w:rsid w:val="F7FD181E"/>
    <w:rsid w:val="F7FF56AE"/>
    <w:rsid w:val="F7FFBA43"/>
    <w:rsid w:val="F8E0F921"/>
    <w:rsid w:val="F8F0B3C6"/>
    <w:rsid w:val="F92C20D0"/>
    <w:rsid w:val="F9739605"/>
    <w:rsid w:val="F9BD7614"/>
    <w:rsid w:val="F9EBAEDB"/>
    <w:rsid w:val="FABF459C"/>
    <w:rsid w:val="FB317F09"/>
    <w:rsid w:val="FB753F9B"/>
    <w:rsid w:val="FBE7BA79"/>
    <w:rsid w:val="FBFB0BCD"/>
    <w:rsid w:val="FBFBF127"/>
    <w:rsid w:val="FBFE39B7"/>
    <w:rsid w:val="FCF183EF"/>
    <w:rsid w:val="FCF7EE51"/>
    <w:rsid w:val="FD7E4A48"/>
    <w:rsid w:val="FD9AA252"/>
    <w:rsid w:val="FDDD7FF3"/>
    <w:rsid w:val="FDDE23EF"/>
    <w:rsid w:val="FDE67FF7"/>
    <w:rsid w:val="FDF7108F"/>
    <w:rsid w:val="FDF74333"/>
    <w:rsid w:val="FDFD28B8"/>
    <w:rsid w:val="FEDF64A3"/>
    <w:rsid w:val="FEEFA244"/>
    <w:rsid w:val="FF07AA46"/>
    <w:rsid w:val="FF1FB1C8"/>
    <w:rsid w:val="FF2EF43B"/>
    <w:rsid w:val="FF3DCC43"/>
    <w:rsid w:val="FF6D16D2"/>
    <w:rsid w:val="FF720985"/>
    <w:rsid w:val="FF7A362E"/>
    <w:rsid w:val="FFAB512A"/>
    <w:rsid w:val="FFAD8402"/>
    <w:rsid w:val="FFAEAFBB"/>
    <w:rsid w:val="FFAF1D94"/>
    <w:rsid w:val="FFB5A8F6"/>
    <w:rsid w:val="FFB6D1BE"/>
    <w:rsid w:val="FFBDBCE1"/>
    <w:rsid w:val="FFCFD87C"/>
    <w:rsid w:val="FFD53D7A"/>
    <w:rsid w:val="FFD5CBD3"/>
    <w:rsid w:val="FFDCB75F"/>
    <w:rsid w:val="FFDFEDDF"/>
    <w:rsid w:val="FFEBA0D9"/>
    <w:rsid w:val="FFEFDF93"/>
    <w:rsid w:val="FFF68358"/>
    <w:rsid w:val="FFFC32AE"/>
    <w:rsid w:val="FFFF5553"/>
    <w:rsid w:val="FFFFB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cp:lastPrinted>2026-01-20T04:54:35Z</cp:lastPrinted>
  <dcterms:modified xsi:type="dcterms:W3CDTF">2026-01-28T08:10:40Z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3BD1DA4044224104B0C141ED8F8EBE55</vt:lpwstr>
  </property>
</Properties>
</file>