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bookmarkStart w:id="1" w:name="_GoBack"/>
      <w:bookmarkEnd w:id="1"/>
      <w:bookmarkStart w:id="0" w:name="OLE_LINK1"/>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额敏县应急管理局2025年度政府信息公开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工作年度报告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本报告根据《中华人民共和国政府信息公开条例》（国务院令第711号）、《关于印发&lt;中华人民共和国政府信息公开工作年度报告格式&gt;的通知》（国办公开办函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6"/>
          <w:szCs w:val="36"/>
          <w:lang w:val="en-US" w:eastAsia="zh-CN"/>
        </w:rPr>
        <w:t>2021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6"/>
          <w:szCs w:val="36"/>
          <w:lang w:val="en-US" w:eastAsia="zh-CN"/>
        </w:rPr>
        <w:t>号</w:t>
      </w:r>
      <w:r>
        <w:rPr>
          <w:rFonts w:hint="eastAsia" w:ascii="仿宋_GB2312" w:hAnsi="仿宋_GB2312" w:eastAsia="仿宋_GB2312" w:cs="仿宋_GB2312"/>
          <w:sz w:val="32"/>
          <w:szCs w:val="32"/>
          <w:lang w:val="en-US" w:eastAsia="zh-CN"/>
        </w:rPr>
        <w:t>）要求编制。</w:t>
      </w:r>
      <w:r>
        <w:rPr>
          <w:rFonts w:hint="eastAsia" w:ascii="仿宋_GB2312" w:hAnsi="仿宋_GB2312" w:eastAsia="仿宋_GB2312" w:cs="仿宋_GB2312"/>
          <w:sz w:val="32"/>
          <w:szCs w:val="32"/>
        </w:rPr>
        <w:t>报告全文包括总体情况、主动公开政府信息情况、收到和处理政府信息公开申请情况、因政府信息公开工作被申请行政复议和提起行政诉讼情况、政府信息公开工作存在的主要问题及改进情况，以及其他需要报告的事项六个部分。</w:t>
      </w:r>
      <w:r>
        <w:rPr>
          <w:rFonts w:hint="eastAsia" w:ascii="仿宋_GB2312" w:hAnsi="仿宋_GB2312" w:eastAsia="仿宋_GB2312" w:cs="仿宋_GB2312"/>
          <w:sz w:val="32"/>
          <w:szCs w:val="32"/>
          <w:lang w:val="en-US" w:eastAsia="zh-CN"/>
        </w:rPr>
        <w:t>报告统计期限为2025年1月1日至2025年12月31日。如本报告有疑问，请于额敏县应急管理局办公室联系（地址：额敏县文化路25号；邮编834600；电话及传真：0901-3349000）。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中华人民共和国政府信息公开条例》，深入贯彻落实政府信息公开工作相关文件精神，扎实推进职能范围本局信息公开常态化、规范化，及时准确向社会公布各类本单位相关信息，既为群众办事提供便利，也自觉接受社会全方位监督，持续提升政府信息公开工作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highlight w:val="none"/>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（一）主动公开情况。</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2025年，额敏县应急管理局及时为群众提供了行政审批、安全生产违法处罚全面事项等动态信息，</w:t>
      </w:r>
      <w:r>
        <w:rPr>
          <w:rFonts w:hint="eastAsia" w:ascii="仿宋" w:hAnsi="仿宋" w:eastAsia="仿宋" w:cs="仿宋"/>
          <w:b w:val="0"/>
          <w:bCs w:val="0"/>
          <w:i w:val="0"/>
          <w:iCs w:val="0"/>
          <w:caps w:val="0"/>
          <w:color w:val="333333"/>
          <w:spacing w:val="0"/>
          <w:kern w:val="0"/>
          <w:sz w:val="32"/>
          <w:szCs w:val="32"/>
          <w:highlight w:val="none"/>
          <w:shd w:val="clear" w:color="auto" w:fill="FFFFFF"/>
          <w:lang w:val="en-US" w:eastAsia="zh-CN" w:bidi="ar"/>
        </w:rPr>
        <w:t>对行政许可、处罚情况等及时予以公开。全年共公示17条。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（二）依申请公开情况。</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2025年度额敏县应急管理局没有发生依申请公开政府信息和不予公开政府信息的情况。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（三）政府信息管理情况。</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加强政府信息管理，检查语言文字表述、图片规范、是否涉密等，对上网发布公开的信息，先通过“三审三校”审核制度，然后报送相关部门，依次进行审核，杜绝涉及敏感内容的信息。加强信息时效性管理，信息类别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（四）平台建设情况。</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善于利用系统的管理平台，逐步建立完善互联网+监管平台建设。加强行政监督主动公开，涉及安全生产违法行为处罚信息。积极配合做好政府网站建设相关工作，提升网上履职能力和服务水平。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pPr>
      <w:r>
        <w:rPr>
          <w:rFonts w:hint="eastAsia" w:ascii="楷体" w:hAnsi="楷体" w:eastAsia="楷体" w:cs="楷体"/>
          <w:b/>
          <w:bCs/>
          <w:i w:val="0"/>
          <w:iCs w:val="0"/>
          <w:caps w:val="0"/>
          <w:color w:val="333333"/>
          <w:spacing w:val="0"/>
          <w:kern w:val="0"/>
          <w:sz w:val="32"/>
          <w:szCs w:val="32"/>
          <w:shd w:val="clear" w:color="auto" w:fill="FFFFFF"/>
          <w:lang w:val="en-US" w:eastAsia="zh-CN" w:bidi="ar"/>
        </w:rPr>
        <w:t>（五）监督保障情况。</w:t>
      </w:r>
      <w:r>
        <w:rPr>
          <w:rFonts w:hint="eastAsia" w:ascii="仿宋" w:hAnsi="仿宋" w:eastAsia="仿宋" w:cs="仿宋"/>
          <w:b w:val="0"/>
          <w:bCs w:val="0"/>
          <w:i w:val="0"/>
          <w:iCs w:val="0"/>
          <w:caps w:val="0"/>
          <w:color w:val="333333"/>
          <w:spacing w:val="0"/>
          <w:kern w:val="0"/>
          <w:sz w:val="32"/>
          <w:szCs w:val="32"/>
          <w:shd w:val="clear" w:color="auto" w:fill="FFFFFF"/>
          <w:lang w:val="en-US" w:eastAsia="zh-CN" w:bidi="ar"/>
        </w:rPr>
        <w:t>额敏县应急管理局政府信息公开工作以负责人具体负责和行政信息公开专人负责相结合，办公室积极配合的本局政府信息公开工作模式。确保本局在县政府网站发布内容均经过“三审三校”后发布。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本年制</w:t>
            </w:r>
            <w:r>
              <w:rPr>
                <w:rFonts w:hint="eastAsia" w:ascii="黑体" w:hAnsi="黑体" w:eastAsia="黑体" w:cs="黑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本年</w:t>
            </w:r>
            <w:r>
              <w:rPr>
                <w:rFonts w:hint="eastAsia" w:ascii="黑体" w:hAnsi="黑体" w:eastAsia="黑体" w:cs="黑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sz w:val="24"/>
                <w:szCs w:val="24"/>
                <w:lang w:val="en-US" w:eastAsia="zh-CN"/>
              </w:rPr>
            </w:pPr>
            <w:r>
              <w:rPr>
                <w:rFonts w:hint="eastAsia"/>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sz w:val="24"/>
                <w:szCs w:val="24"/>
                <w:lang w:val="en-US" w:eastAsia="zh-CN"/>
              </w:rPr>
            </w:pPr>
            <w:r>
              <w:rPr>
                <w:rFonts w:hint="eastAsia"/>
                <w:sz w:val="24"/>
                <w:szCs w:val="24"/>
                <w:lang w:val="en-US" w:eastAsia="zh-CN"/>
              </w:rPr>
              <w:t>0</w:t>
            </w:r>
          </w:p>
        </w:tc>
      </w:tr>
    </w:tbl>
    <w:p>
      <w:pPr>
        <w:pStyle w:val="4"/>
        <w:widowControl/>
        <w:spacing w:before="0" w:beforeAutospacing="0" w:after="0" w:afterAutospacing="0" w:line="560" w:lineRule="exact"/>
        <w:ind w:firstLine="640" w:firstLineChars="200"/>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7"/>
        <w:gridCol w:w="1009"/>
        <w:gridCol w:w="2979"/>
        <w:gridCol w:w="491"/>
        <w:gridCol w:w="703"/>
        <w:gridCol w:w="703"/>
        <w:gridCol w:w="703"/>
        <w:gridCol w:w="703"/>
        <w:gridCol w:w="514"/>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（本列数据的勾稽关系为：第一项加第二项之和，等于第三项加第四项之和）</w:t>
            </w:r>
          </w:p>
        </w:tc>
        <w:tc>
          <w:tcPr>
            <w:tcW w:w="4320" w:type="dxa"/>
            <w:gridSpan w:val="7"/>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continue"/>
            <w:noWrap w:val="0"/>
            <w:tcMar>
              <w:left w:w="108" w:type="dxa"/>
              <w:right w:w="108" w:type="dxa"/>
            </w:tcMar>
            <w:vAlign w:val="center"/>
          </w:tcPr>
          <w:p>
            <w:pPr>
              <w:rPr>
                <w:rFonts w:hint="eastAsia" w:ascii="黑体" w:hAnsi="黑体" w:eastAsia="黑体" w:cs="黑体"/>
                <w:sz w:val="24"/>
                <w:szCs w:val="24"/>
              </w:rPr>
            </w:pPr>
          </w:p>
        </w:tc>
        <w:tc>
          <w:tcPr>
            <w:tcW w:w="491"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自然人</w:t>
            </w:r>
          </w:p>
        </w:tc>
        <w:tc>
          <w:tcPr>
            <w:tcW w:w="3326" w:type="dxa"/>
            <w:gridSpan w:val="5"/>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法人或其他组织</w:t>
            </w:r>
          </w:p>
        </w:tc>
        <w:tc>
          <w:tcPr>
            <w:tcW w:w="503" w:type="dxa"/>
            <w:vMerge w:val="restart"/>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5" w:type="dxa"/>
            <w:gridSpan w:val="3"/>
            <w:vMerge w:val="continue"/>
            <w:noWrap w:val="0"/>
            <w:tcMar>
              <w:left w:w="108" w:type="dxa"/>
              <w:right w:w="108" w:type="dxa"/>
            </w:tcMar>
            <w:vAlign w:val="center"/>
          </w:tcPr>
          <w:p>
            <w:pPr>
              <w:rPr>
                <w:rFonts w:hint="eastAsia" w:ascii="宋体" w:hAnsi="宋体" w:eastAsia="宋体" w:cs="宋体"/>
                <w:sz w:val="24"/>
                <w:szCs w:val="24"/>
              </w:rPr>
            </w:pPr>
          </w:p>
        </w:tc>
        <w:tc>
          <w:tcPr>
            <w:tcW w:w="491" w:type="dxa"/>
            <w:vMerge w:val="continue"/>
            <w:noWrap w:val="0"/>
            <w:tcMar>
              <w:left w:w="108" w:type="dxa"/>
              <w:right w:w="108" w:type="dxa"/>
            </w:tcMar>
            <w:vAlign w:val="center"/>
          </w:tcPr>
          <w:p>
            <w:pPr>
              <w:rPr>
                <w:rFonts w:hint="eastAsia" w:ascii="宋体" w:hAnsi="宋体" w:eastAsia="宋体" w:cs="宋体"/>
                <w:sz w:val="24"/>
                <w:szCs w:val="24"/>
              </w:rPr>
            </w:pP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商业企业</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科研机构</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社会公益组织</w:t>
            </w:r>
          </w:p>
        </w:tc>
        <w:tc>
          <w:tcPr>
            <w:tcW w:w="703"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法律服务机构</w:t>
            </w:r>
          </w:p>
        </w:tc>
        <w:tc>
          <w:tcPr>
            <w:tcW w:w="514" w:type="dxa"/>
            <w:noWrap w:val="0"/>
            <w:tcMar>
              <w:left w:w="108" w:type="dxa"/>
              <w:right w:w="108" w:type="dxa"/>
            </w:tcMar>
            <w:vAlign w:val="center"/>
          </w:tcPr>
          <w:p>
            <w:pPr>
              <w:rPr>
                <w:rFonts w:hint="eastAsia" w:ascii="黑体" w:hAnsi="黑体" w:eastAsia="黑体" w:cs="黑体"/>
                <w:sz w:val="24"/>
                <w:szCs w:val="24"/>
              </w:rPr>
            </w:pPr>
            <w:r>
              <w:rPr>
                <w:rFonts w:hint="eastAsia" w:ascii="黑体" w:hAnsi="黑体" w:eastAsia="黑体" w:cs="黑体"/>
                <w:sz w:val="24"/>
                <w:szCs w:val="24"/>
              </w:rPr>
              <w:t>其他</w:t>
            </w:r>
          </w:p>
        </w:tc>
        <w:tc>
          <w:tcPr>
            <w:tcW w:w="503" w:type="dxa"/>
            <w:vMerge w:val="continue"/>
            <w:noWrap w:val="0"/>
            <w:tcMar>
              <w:left w:w="108" w:type="dxa"/>
              <w:right w:w="108" w:type="dxa"/>
            </w:tcMar>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一、本年新收政府信息公开申请数量</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4735" w:type="dxa"/>
            <w:gridSpan w:val="3"/>
            <w:noWrap w:val="0"/>
            <w:tcMar>
              <w:left w:w="108" w:type="dxa"/>
              <w:right w:w="108"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二、上年结转政府信息公开申请数量</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3988"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（一）予以公开</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3988" w:type="dxa"/>
            <w:gridSpan w:val="2"/>
            <w:noWrap w:val="0"/>
            <w:tcMar>
              <w:left w:w="108" w:type="dxa"/>
              <w:right w:w="108" w:type="dxa"/>
            </w:tcMar>
            <w:vAlign w:val="center"/>
          </w:tcPr>
          <w:p>
            <w:pPr>
              <w:rPr>
                <w:rFonts w:hint="eastAsia" w:ascii="宋体" w:hAnsi="宋体" w:eastAsia="宋体" w:cs="宋体"/>
                <w:sz w:val="24"/>
                <w:szCs w:val="24"/>
              </w:rPr>
            </w:pPr>
            <w:r>
              <w:rPr>
                <w:rFonts w:hint="eastAsia" w:ascii="宋体" w:hAnsi="宋体" w:eastAsia="宋体" w:cs="宋体"/>
                <w:sz w:val="24"/>
                <w:szCs w:val="24"/>
              </w:rPr>
              <w:t>（二）部分公开（区分处理的，只计这一情形，不计其他情形）</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2"/>
              </w:numPr>
              <w:jc w:val="center"/>
              <w:rPr>
                <w:rFonts w:hint="eastAsia" w:ascii="宋体" w:hAnsi="宋体" w:eastAsia="宋体" w:cs="宋体"/>
                <w:outline w:val="0"/>
                <w:shadow w:val="0"/>
                <w:emboss w:val="0"/>
                <w:imprint w:val="0"/>
                <w:vanish w:val="0"/>
                <w:spacing w:val="-11"/>
                <w:w w:val="100"/>
                <w:sz w:val="24"/>
                <w:szCs w:val="24"/>
                <w:u w:val="none"/>
              </w:rPr>
            </w:pPr>
          </w:p>
          <w:p>
            <w:pPr>
              <w:numPr>
                <w:ilvl w:val="0"/>
                <w:numId w:val="0"/>
              </w:numPr>
              <w:jc w:val="center"/>
              <w:rPr>
                <w:rFonts w:hint="eastAsia" w:ascii="宋体" w:hAnsi="宋体" w:eastAsia="宋体" w:cs="宋体"/>
                <w:outline w:val="0"/>
                <w:shadow w:val="0"/>
                <w:emboss w:val="0"/>
                <w:imprint w:val="0"/>
                <w:vanish w:val="0"/>
                <w:spacing w:val="-11"/>
                <w:w w:val="100"/>
                <w:sz w:val="24"/>
                <w:szCs w:val="24"/>
                <w:u w:val="none"/>
              </w:rPr>
            </w:pPr>
            <w:r>
              <w:rPr>
                <w:rFonts w:hint="eastAsia" w:ascii="宋体" w:hAnsi="宋体" w:eastAsia="宋体" w:cs="宋体"/>
                <w:outline w:val="0"/>
                <w:shadow w:val="0"/>
                <w:emboss w:val="0"/>
                <w:imprint w:val="0"/>
                <w:vanish w:val="0"/>
                <w:spacing w:val="-11"/>
                <w:w w:val="100"/>
                <w:sz w:val="24"/>
                <w:szCs w:val="24"/>
                <w:u w:val="none"/>
              </w:rPr>
              <w:t>不予</w:t>
            </w:r>
          </w:p>
          <w:p>
            <w:pPr>
              <w:numPr>
                <w:ilvl w:val="0"/>
                <w:numId w:val="0"/>
              </w:numPr>
              <w:jc w:val="center"/>
              <w:rPr>
                <w:rFonts w:hint="eastAsia" w:ascii="宋体" w:hAnsi="宋体" w:eastAsia="宋体" w:cs="宋体"/>
                <w:sz w:val="24"/>
                <w:szCs w:val="24"/>
              </w:rPr>
            </w:pPr>
            <w:r>
              <w:rPr>
                <w:rFonts w:hint="eastAsia" w:ascii="宋体" w:hAnsi="宋体" w:eastAsia="宋体" w:cs="宋体"/>
                <w:outline w:val="0"/>
                <w:shadow w:val="0"/>
                <w:emboss w:val="0"/>
                <w:imprint w:val="0"/>
                <w:vanish w:val="0"/>
                <w:spacing w:val="-11"/>
                <w:w w:val="100"/>
                <w:sz w:val="24"/>
                <w:szCs w:val="24"/>
                <w:u w:val="none"/>
              </w:rPr>
              <w:t>公开</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.属于国家秘密</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.其他法律行政法规禁止公开</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.危及“三安全一稳定”</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.保护第三方合法权益</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.属于三类内部事务信息</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6</w:t>
            </w:r>
            <w:r>
              <w:rPr>
                <w:rFonts w:hint="eastAsia" w:ascii="宋体" w:hAnsi="宋体" w:eastAsia="宋体" w:cs="宋体"/>
                <w:sz w:val="24"/>
                <w:szCs w:val="24"/>
              </w:rPr>
              <w:t>.属于四类过程性信息</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7</w:t>
            </w:r>
            <w:r>
              <w:rPr>
                <w:rFonts w:hint="eastAsia" w:ascii="宋体" w:hAnsi="宋体" w:eastAsia="宋体" w:cs="宋体"/>
                <w:sz w:val="24"/>
                <w:szCs w:val="24"/>
              </w:rPr>
              <w:t>.属于行政执法案卷</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8</w:t>
            </w:r>
            <w:r>
              <w:rPr>
                <w:rFonts w:hint="eastAsia" w:ascii="宋体" w:hAnsi="宋体" w:eastAsia="宋体" w:cs="宋体"/>
                <w:sz w:val="24"/>
                <w:szCs w:val="24"/>
              </w:rPr>
              <w:t>.属于行政查询事项</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6"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（四）无法</w:t>
            </w:r>
          </w:p>
          <w:p>
            <w:pPr>
              <w:jc w:val="center"/>
              <w:rPr>
                <w:rFonts w:hint="eastAsia" w:ascii="宋体" w:hAnsi="宋体" w:eastAsia="宋体" w:cs="宋体"/>
                <w:sz w:val="24"/>
                <w:szCs w:val="24"/>
              </w:rPr>
            </w:pPr>
            <w:r>
              <w:rPr>
                <w:rFonts w:hint="eastAsia" w:ascii="宋体" w:hAnsi="宋体" w:eastAsia="宋体" w:cs="宋体"/>
                <w:sz w:val="24"/>
                <w:szCs w:val="24"/>
              </w:rPr>
              <w:t>提供</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.本机关不掌握相关政府信息</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.没有现成信息需要另行制作</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jc w:val="cente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w:t>
            </w:r>
            <w:r>
              <w:rPr>
                <w:rFonts w:hint="eastAsia" w:ascii="宋体" w:hAnsi="宋体" w:eastAsia="宋体" w:cs="宋体"/>
                <w:spacing w:val="-6"/>
                <w:sz w:val="24"/>
                <w:szCs w:val="24"/>
              </w:rPr>
              <w:t>补正后申请内容仍不明确</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restart"/>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（五）</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不予</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1</w:t>
            </w:r>
            <w:r>
              <w:rPr>
                <w:rFonts w:hint="eastAsia" w:ascii="宋体" w:hAnsi="宋体" w:eastAsia="宋体" w:cs="宋体"/>
                <w:sz w:val="24"/>
                <w:szCs w:val="24"/>
              </w:rPr>
              <w:t>.信访举报投诉类申请</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2</w:t>
            </w:r>
            <w:r>
              <w:rPr>
                <w:rFonts w:hint="eastAsia" w:ascii="宋体" w:hAnsi="宋体" w:eastAsia="宋体" w:cs="宋体"/>
                <w:sz w:val="24"/>
                <w:szCs w:val="24"/>
              </w:rPr>
              <w:t>.重复申请</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3</w:t>
            </w:r>
            <w:r>
              <w:rPr>
                <w:rFonts w:hint="eastAsia" w:ascii="宋体" w:hAnsi="宋体" w:eastAsia="宋体" w:cs="宋体"/>
                <w:sz w:val="24"/>
                <w:szCs w:val="24"/>
              </w:rPr>
              <w:t>.要求提供公开出版物</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noWrap w:val="0"/>
            <w:tcMar>
              <w:left w:w="108" w:type="dxa"/>
              <w:right w:w="108" w:type="dxa"/>
            </w:tcMar>
            <w:vAlign w:val="center"/>
          </w:tcPr>
          <w:p>
            <w:pPr>
              <w:rPr>
                <w:rFonts w:hint="eastAsia" w:ascii="宋体" w:hAnsi="宋体" w:eastAsia="宋体" w:cs="宋体"/>
                <w:sz w:val="24"/>
                <w:szCs w:val="24"/>
              </w:rPr>
            </w:pPr>
          </w:p>
        </w:tc>
        <w:tc>
          <w:tcPr>
            <w:tcW w:w="2979" w:type="dxa"/>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4</w:t>
            </w:r>
            <w:r>
              <w:rPr>
                <w:rFonts w:hint="eastAsia" w:ascii="宋体" w:hAnsi="宋体" w:eastAsia="宋体" w:cs="宋体"/>
                <w:sz w:val="24"/>
                <w:szCs w:val="24"/>
              </w:rPr>
              <w:t>.</w:t>
            </w:r>
            <w:r>
              <w:rPr>
                <w:rFonts w:hint="eastAsia" w:ascii="宋体" w:hAnsi="宋体" w:eastAsia="宋体" w:cs="宋体"/>
                <w:outline w:val="0"/>
                <w:shadow w:val="0"/>
                <w:emboss w:val="0"/>
                <w:imprint w:val="0"/>
                <w:vanish w:val="0"/>
                <w:spacing w:val="-6"/>
                <w:w w:val="100"/>
                <w:sz w:val="24"/>
                <w:szCs w:val="24"/>
                <w:u w:val="none"/>
              </w:rPr>
              <w:t>无正当理由大量反复申请</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7" w:hRule="atLeast"/>
          <w:jc w:val="center"/>
        </w:trPr>
        <w:tc>
          <w:tcPr>
            <w:tcW w:w="747" w:type="dxa"/>
            <w:vMerge w:val="continue"/>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bottom w:val="single" w:color="auto" w:sz="4" w:space="0"/>
            </w:tcBorders>
            <w:noWrap w:val="0"/>
            <w:tcMar>
              <w:left w:w="108" w:type="dxa"/>
              <w:right w:w="108" w:type="dxa"/>
            </w:tcMar>
            <w:vAlign w:val="center"/>
          </w:tcPr>
          <w:p>
            <w:pPr>
              <w:rPr>
                <w:rFonts w:hint="eastAsia" w:ascii="宋体" w:hAnsi="宋体" w:eastAsia="宋体" w:cs="宋体"/>
                <w:sz w:val="24"/>
                <w:szCs w:val="24"/>
              </w:rPr>
            </w:pPr>
            <w:r>
              <w:rPr>
                <w:rFonts w:hint="eastAsia" w:ascii="Times New Roman" w:hAnsi="Times New Roman" w:eastAsia="宋体" w:cs="宋体"/>
                <w:sz w:val="24"/>
                <w:szCs w:val="24"/>
              </w:rPr>
              <w:t>5</w:t>
            </w:r>
            <w:r>
              <w:rPr>
                <w:rFonts w:hint="eastAsia" w:ascii="宋体" w:hAnsi="宋体" w:eastAsia="宋体" w:cs="宋体"/>
                <w:sz w:val="24"/>
                <w:szCs w:val="24"/>
              </w:rPr>
              <w:t>.要求行政机关确认或重新出具已获取信息</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9" w:hRule="atLeast"/>
          <w:jc w:val="center"/>
        </w:trPr>
        <w:tc>
          <w:tcPr>
            <w:tcW w:w="747" w:type="dxa"/>
            <w:vMerge w:val="restart"/>
            <w:tcBorders>
              <w:right w:val="single" w:color="auto" w:sz="4" w:space="0"/>
            </w:tcBorders>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三、本年度办理结果</w:t>
            </w: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numPr>
                <w:ilvl w:val="0"/>
                <w:numId w:val="0"/>
              </w:numPr>
              <w:ind w:leftChars="0"/>
              <w:jc w:val="both"/>
              <w:rPr>
                <w:rFonts w:hint="eastAsia" w:ascii="宋体" w:hAnsi="宋体" w:eastAsia="宋体" w:cs="宋体"/>
                <w:sz w:val="24"/>
                <w:szCs w:val="24"/>
                <w:lang w:eastAsia="zh-CN"/>
              </w:rPr>
            </w:pPr>
            <w:r>
              <w:rPr>
                <w:rFonts w:hint="eastAsia" w:ascii="宋体" w:hAnsi="宋体" w:cs="宋体"/>
                <w:sz w:val="24"/>
                <w:szCs w:val="24"/>
                <w:lang w:eastAsia="zh-CN"/>
              </w:rPr>
              <w:t>（六）</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其他</w:t>
            </w:r>
          </w:p>
          <w:p>
            <w:pPr>
              <w:numPr>
                <w:ilvl w:val="0"/>
                <w:numId w:val="0"/>
              </w:numPr>
              <w:ind w:leftChars="0"/>
              <w:jc w:val="center"/>
              <w:rPr>
                <w:rFonts w:hint="eastAsia" w:ascii="宋体" w:hAnsi="宋体" w:eastAsia="宋体" w:cs="宋体"/>
                <w:sz w:val="24"/>
                <w:szCs w:val="24"/>
              </w:rPr>
            </w:pPr>
            <w:r>
              <w:rPr>
                <w:rFonts w:hint="eastAsia" w:ascii="宋体" w:hAnsi="宋体" w:eastAsia="宋体" w:cs="宋体"/>
                <w:sz w:val="24"/>
                <w:szCs w:val="24"/>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1</w:t>
            </w:r>
            <w:r>
              <w:rPr>
                <w:rFonts w:hint="eastAsia" w:ascii="宋体" w:hAnsi="宋体" w:eastAsia="宋体" w:cs="宋体"/>
                <w:sz w:val="24"/>
                <w:szCs w:val="24"/>
                <w:lang w:val="en-US" w:eastAsia="zh-CN"/>
              </w:rPr>
              <w:t>.申请人无正当理由逾期不补正、行政机关不再处理其政府信息公开申请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8"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left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2</w:t>
            </w:r>
            <w:r>
              <w:rPr>
                <w:rFonts w:hint="eastAsia" w:ascii="宋体" w:hAnsi="宋体" w:eastAsia="宋体" w:cs="宋体"/>
                <w:sz w:val="24"/>
                <w:szCs w:val="24"/>
                <w:lang w:val="en-US" w:eastAsia="zh-CN"/>
              </w:rPr>
              <w:t>.申请人逾期未按收费通知要求缴纳费用、行政机关不再处理其政府信息公开申请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rPr>
                <w:rFonts w:hint="eastAsia" w:ascii="宋体" w:hAnsi="宋体" w:eastAsia="宋体" w:cs="宋体"/>
                <w:sz w:val="24"/>
                <w:szCs w:val="24"/>
                <w:lang w:val="en-US" w:eastAsia="zh-CN"/>
              </w:rPr>
            </w:pPr>
            <w:r>
              <w:rPr>
                <w:rFonts w:hint="eastAsia" w:ascii="Times New Roman" w:hAnsi="Times New Roman" w:eastAsia="宋体" w:cs="宋体"/>
                <w:sz w:val="24"/>
                <w:szCs w:val="24"/>
                <w:lang w:val="en-US" w:eastAsia="zh-CN"/>
              </w:rPr>
              <w:t>3</w:t>
            </w:r>
            <w:r>
              <w:rPr>
                <w:rFonts w:hint="eastAsia" w:ascii="宋体" w:hAnsi="宋体" w:eastAsia="宋体" w:cs="宋体"/>
                <w:sz w:val="24"/>
                <w:szCs w:val="24"/>
                <w:lang w:val="en-US" w:eastAsia="zh-CN"/>
              </w:rPr>
              <w:t>.其他</w:t>
            </w:r>
          </w:p>
        </w:tc>
        <w:tc>
          <w:tcPr>
            <w:tcW w:w="491" w:type="dxa"/>
            <w:tcBorders>
              <w:left w:val="single" w:color="auto" w:sz="4"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7" w:type="dxa"/>
            <w:vMerge w:val="continue"/>
            <w:tcBorders>
              <w:right w:val="single" w:color="auto" w:sz="4" w:space="0"/>
            </w:tcBorders>
            <w:noWrap w:val="0"/>
            <w:tcMar>
              <w:left w:w="108" w:type="dxa"/>
              <w:right w:w="108" w:type="dxa"/>
            </w:tcMar>
            <w:vAlign w:val="center"/>
          </w:tcPr>
          <w:p>
            <w:pPr>
              <w:rPr>
                <w:rFonts w:hint="eastAsia" w:ascii="宋体" w:hAnsi="宋体" w:eastAsia="宋体" w:cs="宋体"/>
                <w:sz w:val="24"/>
                <w:szCs w:val="24"/>
              </w:rPr>
            </w:pPr>
          </w:p>
        </w:tc>
        <w:tc>
          <w:tcPr>
            <w:tcW w:w="3988" w:type="dxa"/>
            <w:gridSpan w:val="2"/>
            <w:tcBorders>
              <w:top w:val="single" w:color="auto" w:sz="4" w:space="0"/>
            </w:tcBorders>
            <w:noWrap w:val="0"/>
            <w:tcMar>
              <w:left w:w="108" w:type="dxa"/>
              <w:right w:w="108" w:type="dxa"/>
            </w:tcMar>
            <w:vAlign w:val="center"/>
          </w:tcPr>
          <w:p>
            <w:pPr>
              <w:jc w:val="left"/>
              <w:rPr>
                <w:rFonts w:hint="eastAsia" w:ascii="宋体" w:hAnsi="宋体" w:eastAsia="宋体" w:cs="宋体"/>
                <w:sz w:val="24"/>
                <w:szCs w:val="24"/>
              </w:rPr>
            </w:pPr>
            <w:r>
              <w:rPr>
                <w:rFonts w:hint="eastAsia" w:ascii="宋体" w:hAnsi="宋体" w:eastAsia="宋体" w:cs="宋体"/>
                <w:sz w:val="24"/>
                <w:szCs w:val="24"/>
              </w:rPr>
              <w:t>（七）总计</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5" w:type="dxa"/>
            <w:gridSpan w:val="3"/>
            <w:noWrap w:val="0"/>
            <w:tcMar>
              <w:left w:w="108" w:type="dxa"/>
              <w:right w:w="108" w:type="dxa"/>
            </w:tcMar>
            <w:vAlign w:val="center"/>
          </w:tcPr>
          <w:p>
            <w:pPr>
              <w:jc w:val="center"/>
              <w:rPr>
                <w:rFonts w:hint="eastAsia" w:ascii="宋体" w:hAnsi="宋体" w:eastAsia="宋体" w:cs="宋体"/>
                <w:sz w:val="24"/>
                <w:szCs w:val="24"/>
              </w:rPr>
            </w:pPr>
            <w:r>
              <w:rPr>
                <w:rFonts w:hint="eastAsia" w:ascii="黑体" w:hAnsi="黑体" w:eastAsia="黑体" w:cs="黑体"/>
                <w:sz w:val="24"/>
                <w:szCs w:val="24"/>
              </w:rPr>
              <w:t>四、结转下年度继续办理</w:t>
            </w:r>
          </w:p>
        </w:tc>
        <w:tc>
          <w:tcPr>
            <w:tcW w:w="491"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7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14"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c>
          <w:tcPr>
            <w:tcW w:w="503" w:type="dxa"/>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058"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val="en-US" w:eastAsia="zh-CN" w:bidi="ar"/>
              </w:rPr>
            </w:pPr>
            <w:r>
              <w:rPr>
                <w:rFonts w:hint="eastAsia" w:ascii="黑体" w:hAnsi="黑体" w:eastAsia="黑体" w:cs="黑体"/>
                <w:kern w:val="0"/>
                <w:sz w:val="24"/>
                <w:lang w:bidi="ar"/>
              </w:rPr>
              <w:t>总</w:t>
            </w:r>
            <w:r>
              <w:rPr>
                <w:rFonts w:hint="eastAsia" w:ascii="黑体" w:hAnsi="黑体" w:eastAsia="黑体" w:cs="黑体"/>
                <w:kern w:val="0"/>
                <w:sz w:val="24"/>
                <w:lang w:val="en-US" w:eastAsia="zh-CN" w:bidi="ar"/>
              </w:rPr>
              <w:t xml:space="preserve"> </w:t>
            </w:r>
            <w:r>
              <w:rPr>
                <w:rFonts w:hint="eastAsia" w:ascii="黑体" w:hAnsi="黑体" w:eastAsia="黑体" w:cs="黑体"/>
                <w:kern w:val="0"/>
                <w:sz w:val="24"/>
                <w:lang w:bidi="ar"/>
              </w:rPr>
              <w:t>计</w:t>
            </w:r>
            <w:r>
              <w:rPr>
                <w:rFonts w:hint="eastAsia" w:ascii="黑体" w:hAnsi="黑体" w:eastAsia="黑体" w:cs="黑体"/>
                <w:kern w:val="0"/>
                <w:sz w:val="24"/>
                <w:lang w:val="en-US" w:eastAsia="zh-CN" w:bidi="ar"/>
              </w:rPr>
              <w:t xml:space="preserve">   </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黑体" w:hAnsi="黑体" w:eastAsia="黑体" w:cs="黑体"/>
                <w:kern w:val="0"/>
                <w:sz w:val="24"/>
                <w:lang w:bidi="ar"/>
              </w:rPr>
            </w:pPr>
            <w:r>
              <w:rPr>
                <w:rFonts w:hint="eastAsia" w:ascii="黑体" w:hAnsi="黑体" w:eastAsia="黑体" w:cs="黑体"/>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774"/>
        <w:jc w:val="left"/>
        <w:textAlignment w:val="auto"/>
        <w:rPr>
          <w:rFonts w:hint="eastAsia" w:ascii="仿宋" w:hAnsi="仿宋" w:eastAsia="仿宋" w:cs="仿宋"/>
          <w:b w:val="0"/>
          <w:bCs w:val="0"/>
          <w:i w:val="0"/>
          <w:iCs w:val="0"/>
          <w:caps w:val="0"/>
          <w:color w:val="333333"/>
          <w:spacing w:val="0"/>
          <w:sz w:val="32"/>
          <w:szCs w:val="32"/>
          <w:shd w:val="clear" w:color="auto" w:fill="FFFFFF"/>
          <w:lang w:val="en-US" w:eastAsia="zh-CN"/>
        </w:rPr>
      </w:pPr>
      <w:r>
        <w:rPr>
          <w:rFonts w:ascii="仿宋" w:hAnsi="仿宋" w:eastAsia="仿宋" w:cs="仿宋"/>
          <w:b w:val="0"/>
          <w:bCs w:val="0"/>
          <w:i w:val="0"/>
          <w:iCs w:val="0"/>
          <w:caps w:val="0"/>
          <w:color w:val="333333"/>
          <w:spacing w:val="0"/>
          <w:sz w:val="32"/>
          <w:szCs w:val="32"/>
          <w:shd w:val="clear" w:color="auto" w:fill="FFFFFF"/>
        </w:rPr>
        <w:t>202</w:t>
      </w:r>
      <w:r>
        <w:rPr>
          <w:rFonts w:hint="eastAsia" w:ascii="仿宋" w:hAnsi="仿宋" w:eastAsia="仿宋" w:cs="仿宋"/>
          <w:b w:val="0"/>
          <w:bCs w:val="0"/>
          <w:i w:val="0"/>
          <w:iCs w:val="0"/>
          <w:caps w:val="0"/>
          <w:color w:val="333333"/>
          <w:spacing w:val="0"/>
          <w:sz w:val="32"/>
          <w:szCs w:val="32"/>
          <w:shd w:val="clear" w:color="auto" w:fill="FFFFFF"/>
          <w:lang w:val="en-US" w:eastAsia="zh-CN"/>
        </w:rPr>
        <w:t>5</w:t>
      </w:r>
      <w:r>
        <w:rPr>
          <w:rFonts w:hint="eastAsia" w:ascii="仿宋" w:hAnsi="仿宋" w:eastAsia="仿宋" w:cs="仿宋"/>
          <w:b w:val="0"/>
          <w:bCs w:val="0"/>
          <w:i w:val="0"/>
          <w:iCs w:val="0"/>
          <w:caps w:val="0"/>
          <w:color w:val="333333"/>
          <w:spacing w:val="0"/>
          <w:sz w:val="32"/>
          <w:szCs w:val="32"/>
          <w:shd w:val="clear" w:color="auto" w:fill="FFFFFF"/>
        </w:rPr>
        <w:t>年，</w:t>
      </w: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额敏县应急管理局</w:t>
      </w:r>
      <w:r>
        <w:rPr>
          <w:rFonts w:hint="eastAsia" w:ascii="仿宋" w:hAnsi="仿宋" w:eastAsia="仿宋" w:cs="仿宋"/>
          <w:b w:val="0"/>
          <w:bCs w:val="0"/>
          <w:i w:val="0"/>
          <w:iCs w:val="0"/>
          <w:caps w:val="0"/>
          <w:color w:val="333333"/>
          <w:spacing w:val="0"/>
          <w:sz w:val="32"/>
          <w:szCs w:val="32"/>
          <w:shd w:val="clear" w:color="auto" w:fill="FFFFFF"/>
        </w:rPr>
        <w:t>在政府信息公开工作制度机制建设、提升规范化和信息化水平、增强公开实效等方面，取得了一定进展和成效，但与保障人民群众知情、参与</w:t>
      </w:r>
      <w:r>
        <w:rPr>
          <w:rFonts w:hint="eastAsia" w:ascii="仿宋" w:hAnsi="仿宋" w:eastAsia="仿宋" w:cs="仿宋"/>
          <w:b w:val="0"/>
          <w:bCs w:val="0"/>
          <w:i w:val="0"/>
          <w:iCs w:val="0"/>
          <w:caps w:val="0"/>
          <w:color w:val="333333"/>
          <w:spacing w:val="0"/>
          <w:sz w:val="32"/>
          <w:szCs w:val="32"/>
          <w:shd w:val="clear" w:color="auto" w:fill="FFFFFF"/>
          <w:lang w:eastAsia="zh-CN"/>
        </w:rPr>
        <w:t>、</w:t>
      </w:r>
      <w:r>
        <w:rPr>
          <w:rFonts w:hint="eastAsia" w:ascii="仿宋" w:hAnsi="仿宋" w:eastAsia="仿宋" w:cs="仿宋"/>
          <w:b w:val="0"/>
          <w:bCs w:val="0"/>
          <w:i w:val="0"/>
          <w:iCs w:val="0"/>
          <w:caps w:val="0"/>
          <w:color w:val="333333"/>
          <w:spacing w:val="0"/>
          <w:sz w:val="32"/>
          <w:szCs w:val="32"/>
          <w:shd w:val="clear" w:color="auto" w:fill="FFFFFF"/>
        </w:rPr>
        <w:t>监督的实际需求相比，还存在较大差距，</w:t>
      </w:r>
      <w:r>
        <w:rPr>
          <w:rFonts w:hint="eastAsia" w:ascii="仿宋" w:hAnsi="仿宋" w:eastAsia="仿宋" w:cs="仿宋"/>
          <w:b w:val="0"/>
          <w:bCs w:val="0"/>
          <w:i w:val="0"/>
          <w:iCs w:val="0"/>
          <w:caps w:val="0"/>
          <w:color w:val="333333"/>
          <w:spacing w:val="0"/>
          <w:sz w:val="32"/>
          <w:szCs w:val="32"/>
          <w:shd w:val="clear" w:color="auto" w:fill="FFFFFF"/>
          <w:lang w:val="en-US" w:eastAsia="zh-CN"/>
        </w:rPr>
        <w:t>政府信息公开工作要点落实有待加强。</w:t>
      </w: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额敏县应急管理局</w:t>
      </w:r>
      <w:r>
        <w:rPr>
          <w:rFonts w:hint="eastAsia" w:ascii="仿宋" w:hAnsi="仿宋" w:eastAsia="仿宋" w:cs="仿宋"/>
          <w:b w:val="0"/>
          <w:bCs w:val="0"/>
          <w:i w:val="0"/>
          <w:iCs w:val="0"/>
          <w:caps w:val="0"/>
          <w:color w:val="333333"/>
          <w:spacing w:val="0"/>
          <w:sz w:val="32"/>
          <w:szCs w:val="32"/>
          <w:shd w:val="clear" w:color="auto" w:fill="FFFFFF"/>
          <w:lang w:val="en-US" w:eastAsia="zh-CN"/>
        </w:rPr>
        <w:t>局将不断改进工作方法，深化重点领域信息公开，提高信息公开质量，全面推动我局政府信息公开工作上一个新台阶，更好地保障人民群众知情权、参与权和监督权。</w:t>
      </w:r>
    </w:p>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六、其他需要报告的事项</w:t>
      </w:r>
    </w:p>
    <w:p>
      <w:pPr>
        <w:spacing w:line="560" w:lineRule="exact"/>
        <w:ind w:firstLine="636" w:firstLineChars="199"/>
        <w:rPr>
          <w:rFonts w:hint="eastAsia" w:ascii="仿宋" w:hAnsi="仿宋" w:eastAsia="仿宋" w:cs="仿宋"/>
          <w:b w:val="0"/>
          <w:bCs w:val="0"/>
          <w:i w:val="0"/>
          <w:iCs w:val="0"/>
          <w:caps w:val="0"/>
          <w:color w:val="333333"/>
          <w:spacing w:val="0"/>
          <w:sz w:val="32"/>
          <w:szCs w:val="32"/>
          <w:shd w:val="clear" w:color="auto" w:fill="FFFFFF"/>
          <w:lang w:val="en-US" w:eastAsia="zh-CN"/>
        </w:rPr>
      </w:pPr>
      <w:r>
        <w:rPr>
          <w:rFonts w:hint="eastAsia" w:ascii="仿宋" w:hAnsi="仿宋" w:eastAsia="仿宋" w:cs="仿宋"/>
          <w:b w:val="0"/>
          <w:bCs w:val="0"/>
          <w:i w:val="0"/>
          <w:iCs w:val="0"/>
          <w:caps w:val="0"/>
          <w:color w:val="333333"/>
          <w:spacing w:val="0"/>
          <w:sz w:val="32"/>
          <w:szCs w:val="32"/>
          <w:shd w:val="clear" w:color="auto" w:fill="FFFFFF"/>
          <w:lang w:val="en-US" w:eastAsia="zh-CN"/>
        </w:rPr>
        <w:t>本机关按照《国务院办公厅关于印发&lt;政府信息公开信息处理费管理办法&gt;的通知》（国办函（2020）109号）规定的按件、按量收费标准，本年度没有产生信息公开处理费。</w:t>
      </w:r>
    </w:p>
    <w:p>
      <w:pPr>
        <w:spacing w:line="560" w:lineRule="exact"/>
        <w:ind w:firstLine="636" w:firstLineChars="199"/>
        <w:rPr>
          <w:rFonts w:hint="eastAsia" w:ascii="仿宋" w:hAnsi="仿宋" w:eastAsia="仿宋" w:cs="仿宋"/>
          <w:b w:val="0"/>
          <w:bCs w:val="0"/>
          <w:i w:val="0"/>
          <w:iCs w:val="0"/>
          <w:caps w:val="0"/>
          <w:color w:val="333333"/>
          <w:spacing w:val="0"/>
          <w:sz w:val="32"/>
          <w:szCs w:val="32"/>
          <w:shd w:val="clear" w:color="auto" w:fill="FFFFFF"/>
          <w:lang w:val="en-US" w:eastAsia="zh-CN"/>
        </w:rPr>
      </w:pPr>
    </w:p>
    <w:p>
      <w:pPr>
        <w:spacing w:line="560" w:lineRule="exact"/>
        <w:ind w:firstLine="636" w:firstLineChars="199"/>
        <w:rPr>
          <w:rFonts w:hint="eastAsia" w:ascii="仿宋" w:hAnsi="仿宋" w:eastAsia="仿宋" w:cs="仿宋"/>
          <w:b w:val="0"/>
          <w:bCs w:val="0"/>
          <w:i w:val="0"/>
          <w:iCs w:val="0"/>
          <w:caps w:val="0"/>
          <w:color w:val="333333"/>
          <w:spacing w:val="0"/>
          <w:sz w:val="32"/>
          <w:szCs w:val="32"/>
          <w:shd w:val="clear" w:color="auto" w:fill="FFFFFF"/>
          <w:lang w:val="en-US" w:eastAsia="zh-CN"/>
        </w:rPr>
      </w:pPr>
    </w:p>
    <w:p>
      <w:pPr>
        <w:spacing w:line="560" w:lineRule="exact"/>
        <w:ind w:firstLine="636" w:firstLineChars="199"/>
        <w:jc w:val="right"/>
        <w:rPr>
          <w:rFonts w:hint="eastAsia" w:ascii="仿宋" w:hAnsi="仿宋" w:eastAsia="仿宋" w:cs="仿宋"/>
          <w:b w:val="0"/>
          <w:bCs w:val="0"/>
          <w:i w:val="0"/>
          <w:iCs w:val="0"/>
          <w:caps w:val="0"/>
          <w:color w:val="333333"/>
          <w:spacing w:val="0"/>
          <w:sz w:val="32"/>
          <w:szCs w:val="32"/>
          <w:shd w:val="clear" w:color="auto" w:fill="FFFFFF"/>
          <w:lang w:val="en-US" w:eastAsia="zh-CN"/>
        </w:rPr>
      </w:pPr>
      <w:r>
        <w:rPr>
          <w:rFonts w:hint="eastAsia" w:ascii="仿宋" w:hAnsi="仿宋" w:eastAsia="仿宋" w:cs="仿宋"/>
          <w:b w:val="0"/>
          <w:bCs w:val="0"/>
          <w:i w:val="0"/>
          <w:iCs w:val="0"/>
          <w:caps w:val="0"/>
          <w:color w:val="333333"/>
          <w:spacing w:val="0"/>
          <w:sz w:val="32"/>
          <w:szCs w:val="32"/>
          <w:shd w:val="clear" w:color="auto" w:fill="FFFFFF"/>
          <w:lang w:val="en-US" w:eastAsia="zh-CN"/>
        </w:rPr>
        <w:t>额敏县应急管理局</w:t>
      </w:r>
    </w:p>
    <w:p>
      <w:pPr>
        <w:spacing w:line="560" w:lineRule="exact"/>
        <w:ind w:firstLine="636" w:firstLineChars="199"/>
        <w:jc w:val="right"/>
        <w:rPr>
          <w:rFonts w:hint="default" w:ascii="方正小标宋简体" w:hAnsi="方正小标宋简体" w:eastAsia="方正小标宋简体" w:cs="方正小标宋简体"/>
          <w:sz w:val="44"/>
          <w:szCs w:val="44"/>
          <w:lang w:val="en-US" w:eastAsia="zh-CN"/>
        </w:rPr>
      </w:pPr>
      <w:r>
        <w:rPr>
          <w:rFonts w:hint="eastAsia" w:ascii="仿宋" w:hAnsi="仿宋" w:eastAsia="仿宋" w:cs="仿宋"/>
          <w:b w:val="0"/>
          <w:bCs w:val="0"/>
          <w:i w:val="0"/>
          <w:iCs w:val="0"/>
          <w:caps w:val="0"/>
          <w:color w:val="333333"/>
          <w:spacing w:val="0"/>
          <w:sz w:val="32"/>
          <w:szCs w:val="32"/>
          <w:shd w:val="clear" w:color="auto" w:fill="FFFFFF"/>
          <w:lang w:val="en-US" w:eastAsia="zh-CN"/>
        </w:rPr>
        <w:t>2026年1月27日</w:t>
      </w:r>
    </w:p>
    <w:sectPr>
      <w:footerReference r:id="rId3" w:type="default"/>
      <w:pgSz w:w="11906" w:h="16838"/>
      <w:pgMar w:top="1984" w:right="1531" w:bottom="1701" w:left="1531" w:header="851" w:footer="1417" w:gutter="0"/>
      <w:paperSrc/>
      <w:pgNumType w:fmt="decimal" w:start="4"/>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014C05"/>
    <w:multiLevelType w:val="singleLevel"/>
    <w:tmpl w:val="B1014C05"/>
    <w:lvl w:ilvl="0" w:tentative="0">
      <w:start w:val="1"/>
      <w:numFmt w:val="chineseCounting"/>
      <w:suff w:val="nothing"/>
      <w:lvlText w:val="%1、"/>
      <w:lvlJc w:val="left"/>
      <w:rPr>
        <w:rFonts w:hint="eastAsia"/>
      </w:rPr>
    </w:lvl>
  </w:abstractNum>
  <w:abstractNum w:abstractNumId="1">
    <w:nsid w:val="47316BC5"/>
    <w:multiLevelType w:val="singleLevel"/>
    <w:tmpl w:val="47316BC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5AA9"/>
    <w:rsid w:val="054C5D7B"/>
    <w:rsid w:val="0AB85D36"/>
    <w:rsid w:val="0DBE5485"/>
    <w:rsid w:val="0E2875A2"/>
    <w:rsid w:val="0FB1ED13"/>
    <w:rsid w:val="14271CCC"/>
    <w:rsid w:val="15FB8EA7"/>
    <w:rsid w:val="17F90D9B"/>
    <w:rsid w:val="1BF9075A"/>
    <w:rsid w:val="1D577EA2"/>
    <w:rsid w:val="1DBDFBC9"/>
    <w:rsid w:val="1FDB8C67"/>
    <w:rsid w:val="211425F8"/>
    <w:rsid w:val="26BF2150"/>
    <w:rsid w:val="2DBFBC40"/>
    <w:rsid w:val="2DFDE716"/>
    <w:rsid w:val="2E7B3A54"/>
    <w:rsid w:val="2F3F1579"/>
    <w:rsid w:val="2F6DEC47"/>
    <w:rsid w:val="2FDF01AE"/>
    <w:rsid w:val="2FF4864B"/>
    <w:rsid w:val="2FFB22A4"/>
    <w:rsid w:val="33476133"/>
    <w:rsid w:val="33D714C0"/>
    <w:rsid w:val="34BBC352"/>
    <w:rsid w:val="35FD630A"/>
    <w:rsid w:val="369EAFAC"/>
    <w:rsid w:val="37E6ECC8"/>
    <w:rsid w:val="37FFDA62"/>
    <w:rsid w:val="38296B8D"/>
    <w:rsid w:val="3AFF2EE8"/>
    <w:rsid w:val="3BDABEC6"/>
    <w:rsid w:val="3BF54923"/>
    <w:rsid w:val="3BFF17F9"/>
    <w:rsid w:val="3D7F7DD5"/>
    <w:rsid w:val="3DFE6730"/>
    <w:rsid w:val="3DFF1F5B"/>
    <w:rsid w:val="3EAB0813"/>
    <w:rsid w:val="3ECDB389"/>
    <w:rsid w:val="3F9713AE"/>
    <w:rsid w:val="3FBE452B"/>
    <w:rsid w:val="3FE6230C"/>
    <w:rsid w:val="42F54C77"/>
    <w:rsid w:val="45FF8569"/>
    <w:rsid w:val="495FD348"/>
    <w:rsid w:val="4AFE2542"/>
    <w:rsid w:val="4B476D29"/>
    <w:rsid w:val="4DF5448C"/>
    <w:rsid w:val="4E5D3FAD"/>
    <w:rsid w:val="4ED3CC05"/>
    <w:rsid w:val="4EE7823E"/>
    <w:rsid w:val="4F7F0F6C"/>
    <w:rsid w:val="51244D31"/>
    <w:rsid w:val="53FDAC02"/>
    <w:rsid w:val="53FFBDEB"/>
    <w:rsid w:val="54BF66A9"/>
    <w:rsid w:val="55FE89AF"/>
    <w:rsid w:val="569BCBE4"/>
    <w:rsid w:val="56F75819"/>
    <w:rsid w:val="573D23C5"/>
    <w:rsid w:val="57ABD0BC"/>
    <w:rsid w:val="588F9D8D"/>
    <w:rsid w:val="5AFEA431"/>
    <w:rsid w:val="5B0F0C9E"/>
    <w:rsid w:val="5BDBA9BF"/>
    <w:rsid w:val="5CA772BC"/>
    <w:rsid w:val="5D3EFB57"/>
    <w:rsid w:val="5DB52F95"/>
    <w:rsid w:val="5DEA2796"/>
    <w:rsid w:val="5E77C89D"/>
    <w:rsid w:val="5EDFBC86"/>
    <w:rsid w:val="5EEE0E0E"/>
    <w:rsid w:val="5EFFF25A"/>
    <w:rsid w:val="5F5B3921"/>
    <w:rsid w:val="5FBD29CB"/>
    <w:rsid w:val="5FBF7A07"/>
    <w:rsid w:val="5FFFB2CA"/>
    <w:rsid w:val="63EB0F43"/>
    <w:rsid w:val="63F51A12"/>
    <w:rsid w:val="666F524E"/>
    <w:rsid w:val="67766E7C"/>
    <w:rsid w:val="67896C8F"/>
    <w:rsid w:val="67B86F4B"/>
    <w:rsid w:val="67FC9BDC"/>
    <w:rsid w:val="69C253C8"/>
    <w:rsid w:val="69FECB58"/>
    <w:rsid w:val="6A502537"/>
    <w:rsid w:val="6ADF26F4"/>
    <w:rsid w:val="6BF7ACEA"/>
    <w:rsid w:val="6BFA22E5"/>
    <w:rsid w:val="6BFE896C"/>
    <w:rsid w:val="6DF46FA0"/>
    <w:rsid w:val="6EE57227"/>
    <w:rsid w:val="6EEFE970"/>
    <w:rsid w:val="6EFE2D9F"/>
    <w:rsid w:val="6FDF5FD4"/>
    <w:rsid w:val="6FF96D33"/>
    <w:rsid w:val="73BF1F48"/>
    <w:rsid w:val="73FA93CF"/>
    <w:rsid w:val="73FB804A"/>
    <w:rsid w:val="74772C9E"/>
    <w:rsid w:val="75B7F74D"/>
    <w:rsid w:val="76B785F1"/>
    <w:rsid w:val="774E65D4"/>
    <w:rsid w:val="77D970E5"/>
    <w:rsid w:val="77DFF527"/>
    <w:rsid w:val="77FC4B6E"/>
    <w:rsid w:val="77FD1A6A"/>
    <w:rsid w:val="77FF625D"/>
    <w:rsid w:val="7A5F28C2"/>
    <w:rsid w:val="7AFF576F"/>
    <w:rsid w:val="7AFFB878"/>
    <w:rsid w:val="7B7708EE"/>
    <w:rsid w:val="7BC6063A"/>
    <w:rsid w:val="7BCFBD38"/>
    <w:rsid w:val="7BF2FDC5"/>
    <w:rsid w:val="7BFC57ED"/>
    <w:rsid w:val="7BFF4374"/>
    <w:rsid w:val="7C96545E"/>
    <w:rsid w:val="7D4F3E3E"/>
    <w:rsid w:val="7D5FEFA5"/>
    <w:rsid w:val="7D6CD867"/>
    <w:rsid w:val="7D764056"/>
    <w:rsid w:val="7D7DBA64"/>
    <w:rsid w:val="7D9FC4D8"/>
    <w:rsid w:val="7DFED623"/>
    <w:rsid w:val="7DFF4180"/>
    <w:rsid w:val="7E7538F9"/>
    <w:rsid w:val="7EB8C56E"/>
    <w:rsid w:val="7EB928EB"/>
    <w:rsid w:val="7EBFF697"/>
    <w:rsid w:val="7EFC0E7B"/>
    <w:rsid w:val="7EFC9B8D"/>
    <w:rsid w:val="7EFE4EAD"/>
    <w:rsid w:val="7EFF7404"/>
    <w:rsid w:val="7EFFC735"/>
    <w:rsid w:val="7F50710A"/>
    <w:rsid w:val="7F6F1D4B"/>
    <w:rsid w:val="7F748D63"/>
    <w:rsid w:val="7F77B9DA"/>
    <w:rsid w:val="7F9F6549"/>
    <w:rsid w:val="7FAF5D99"/>
    <w:rsid w:val="7FB47235"/>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BD795"/>
    <w:rsid w:val="BFDF0F8C"/>
    <w:rsid w:val="BFEF4541"/>
    <w:rsid w:val="BFF7D9D8"/>
    <w:rsid w:val="BFFA78D4"/>
    <w:rsid w:val="BFFC642A"/>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1992</Words>
  <Characters>2064</Characters>
  <Lines>0</Lines>
  <Paragraphs>0</Paragraphs>
  <TotalTime>0</TotalTime>
  <ScaleCrop>false</ScaleCrop>
  <LinksUpToDate>false</LinksUpToDate>
  <CharactersWithSpaces>2068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cp:lastPrinted>2025-02-07T04:33:47Z</cp:lastPrinted>
  <dcterms:modified xsi:type="dcterms:W3CDTF">2026-01-30T09:53:22Z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8C08198D651E4D8AA9704C64CA647FB1_13</vt:lpwstr>
  </property>
  <property fmtid="{D5CDD505-2E9C-101B-9397-08002B2CF9AE}" pid="4" name="KSOTemplateDocerSaveRecord">
    <vt:lpwstr>eyJoZGlkIjoiZTY0MTI5MjBjODBiMDA2MzUxZjA3MjJkMDVjOGZmMjYiLCJ1c2VySWQiOiIxMjE5MjAwNjUzIn0=</vt:lpwstr>
  </property>
</Properties>
</file>