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额敏县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卫健委202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bidi w:val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根据《中华人民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共和国政府信息公开条例》（以下简称《条例》）规定，现编制本年度报告。本报告所列数据统计期限自202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年1月1日至202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年12月31日。如对本年度报告有疑义，请联系：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卫健委办公室，地址：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额敏县哈医医院院内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，邮编：090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834600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，电话：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0901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3353391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政府关于推进政府信息公开的部署和要求，紧紧围绕政务公开工作要点，在规范政府信息公开工作程序、深化政府信息公开内容、拓宽政府信息公开渠道等方面不断下功夫。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（一）主动公开方面。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在政府网站栏目公开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发布行政执法案件公示20件、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许可（卫生许可）126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条，行政许可（医生护士）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254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，行政许可（医疗机构）100条，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条，医疗卫生服务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传染病</w:t>
      </w:r>
      <w:r>
        <w:rPr>
          <w:rFonts w:hint="eastAsia" w:ascii="仿宋_GB2312" w:hAnsi="仿宋_GB2312" w:eastAsia="仿宋_GB2312" w:cs="仿宋_GB2312"/>
          <w:sz w:val="32"/>
          <w:szCs w:val="32"/>
        </w:rPr>
        <w:t>防控知识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突发公共卫生应急5条，健康科普24条，在政务新媒体“健康额敏”微信公众号上公开健康科普41条，严格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落实上级部门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三审三校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”的原则，先审核后公开。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（二）依申请公开方面。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额敏县卫健委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未收到有关依申请公开内容，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也未收到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因政府信息公开申请工作被申请行政复议和行政诉讼的情况。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（三）政府信息管理方面。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高度重视政府信息公开工作，所有拟公开的政务信息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</w:t>
      </w:r>
      <w:r>
        <w:rPr>
          <w:rFonts w:hint="eastAsia" w:ascii="仿宋_GB2312" w:hAnsi="仿宋_GB2312" w:eastAsia="仿宋_GB2312" w:cs="仿宋_GB2312"/>
          <w:sz w:val="32"/>
          <w:szCs w:val="32"/>
        </w:rPr>
        <w:t>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把好各项审核签章关卡，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不断加强政府信息公开工作的规范化建设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（四）平台建设方面。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加强政务新媒体“健康额敏”微信公众号管理工作。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每季度开展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自查，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安排专人负责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微信公众号平台的选题策划、内容审核、信息发布等职责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，严格执行《健康额敏公众号“三审三校”制度》。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（五）监督保障方面。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额敏县卫生健康委员会将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常态化开展日常监测和自查整改，进一步明确政府信息公开工作职责。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sz w:val="32"/>
          <w:szCs w:val="30"/>
        </w:rPr>
      </w:pPr>
      <w:r>
        <w:rPr>
          <w:rFonts w:hint="eastAsia" w:ascii="黑体" w:hAnsi="黑体" w:eastAsia="黑体" w:cs="宋体"/>
          <w:sz w:val="32"/>
          <w:szCs w:val="30"/>
        </w:rPr>
        <w:t>三、收到和处理政府信息公开申请情况</w:t>
      </w:r>
    </w:p>
    <w:tbl>
      <w:tblPr>
        <w:tblStyle w:val="6"/>
        <w:tblW w:w="8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6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额敏县卫生健康委员会虽然在政府信息公开工作上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取得了一定成效，但仍存在一些问题，主要体现在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信息公开的全面性、及时性有待提升。针对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以上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问题，我们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组织工作人员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加强对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的学习和研究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，提高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工作人员的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思想认识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切实提高政务信息发布的质量，拓宽信息公开的范围。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本机关按照《国务院办公厅关于印发&lt;政府信息公开信息处理费管理办法&gt;的通知》（国办函〔2020〕109号）规定的按件、按量收费标准，本年度未产生信息公开处理费。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额敏县卫生健康委员会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2026年1月21日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/r6cMBAABwAwAADgAAAGRycy9lMm9Eb2MueG1srVPNjtMwEL4j7TtY&#10;vm+dLRK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Rn+vp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EAA9"/>
    <w:rsid w:val="00106DB8"/>
    <w:rsid w:val="02B654DD"/>
    <w:rsid w:val="02EF7EC1"/>
    <w:rsid w:val="030B1AD3"/>
    <w:rsid w:val="03D42E2E"/>
    <w:rsid w:val="04A4331E"/>
    <w:rsid w:val="04FC263C"/>
    <w:rsid w:val="05171224"/>
    <w:rsid w:val="0568097F"/>
    <w:rsid w:val="05F2007B"/>
    <w:rsid w:val="0BB42338"/>
    <w:rsid w:val="0BF85900"/>
    <w:rsid w:val="0C152235"/>
    <w:rsid w:val="0D676AC1"/>
    <w:rsid w:val="0DAE0310"/>
    <w:rsid w:val="0F8D57EB"/>
    <w:rsid w:val="10EA62B0"/>
    <w:rsid w:val="12E20529"/>
    <w:rsid w:val="13406A4F"/>
    <w:rsid w:val="15E87BD9"/>
    <w:rsid w:val="16695657"/>
    <w:rsid w:val="17C84A90"/>
    <w:rsid w:val="18BE1160"/>
    <w:rsid w:val="196AEAA9"/>
    <w:rsid w:val="19E75211"/>
    <w:rsid w:val="1A2C70C8"/>
    <w:rsid w:val="1B097EA1"/>
    <w:rsid w:val="1E754091"/>
    <w:rsid w:val="1ECF52CB"/>
    <w:rsid w:val="1F185E6D"/>
    <w:rsid w:val="21171F0C"/>
    <w:rsid w:val="21842A76"/>
    <w:rsid w:val="23386ADD"/>
    <w:rsid w:val="23C13A3F"/>
    <w:rsid w:val="2412732E"/>
    <w:rsid w:val="260A7563"/>
    <w:rsid w:val="265B196D"/>
    <w:rsid w:val="282F1EF2"/>
    <w:rsid w:val="2925551E"/>
    <w:rsid w:val="2B2B00ED"/>
    <w:rsid w:val="2C591FCD"/>
    <w:rsid w:val="2E2B7C83"/>
    <w:rsid w:val="2ECE623F"/>
    <w:rsid w:val="320E184D"/>
    <w:rsid w:val="340D366E"/>
    <w:rsid w:val="35063CF2"/>
    <w:rsid w:val="351D7524"/>
    <w:rsid w:val="36CC3BF1"/>
    <w:rsid w:val="38237660"/>
    <w:rsid w:val="38BC6DAB"/>
    <w:rsid w:val="39056887"/>
    <w:rsid w:val="390C335B"/>
    <w:rsid w:val="39A3150B"/>
    <w:rsid w:val="3D784F17"/>
    <w:rsid w:val="3DCC5DDB"/>
    <w:rsid w:val="3DF67143"/>
    <w:rsid w:val="3DFF04CC"/>
    <w:rsid w:val="3F991F5D"/>
    <w:rsid w:val="400D3374"/>
    <w:rsid w:val="4024509F"/>
    <w:rsid w:val="40627343"/>
    <w:rsid w:val="4292190E"/>
    <w:rsid w:val="44E31EF9"/>
    <w:rsid w:val="45C10E59"/>
    <w:rsid w:val="464F67AF"/>
    <w:rsid w:val="4805119D"/>
    <w:rsid w:val="49D96075"/>
    <w:rsid w:val="5116172C"/>
    <w:rsid w:val="557A7C16"/>
    <w:rsid w:val="55EE6057"/>
    <w:rsid w:val="55F43890"/>
    <w:rsid w:val="56002BDB"/>
    <w:rsid w:val="576A47B0"/>
    <w:rsid w:val="59345076"/>
    <w:rsid w:val="5A0A20EB"/>
    <w:rsid w:val="5A2C22D0"/>
    <w:rsid w:val="5D1A6C78"/>
    <w:rsid w:val="5D4E4733"/>
    <w:rsid w:val="60454A26"/>
    <w:rsid w:val="607D7325"/>
    <w:rsid w:val="634A43C3"/>
    <w:rsid w:val="63C20BB3"/>
    <w:rsid w:val="652F0DE7"/>
    <w:rsid w:val="654939B5"/>
    <w:rsid w:val="67D31EFE"/>
    <w:rsid w:val="6D254797"/>
    <w:rsid w:val="6E0B49D4"/>
    <w:rsid w:val="6E267437"/>
    <w:rsid w:val="71C24A03"/>
    <w:rsid w:val="72DB38B9"/>
    <w:rsid w:val="74017DF2"/>
    <w:rsid w:val="754C08F6"/>
    <w:rsid w:val="75986535"/>
    <w:rsid w:val="75D50105"/>
    <w:rsid w:val="77075720"/>
    <w:rsid w:val="7883527A"/>
    <w:rsid w:val="79D17EE1"/>
    <w:rsid w:val="7A1038B8"/>
    <w:rsid w:val="7BA67BFD"/>
    <w:rsid w:val="7CC829D0"/>
    <w:rsid w:val="7E855034"/>
    <w:rsid w:val="7FBA11EE"/>
    <w:rsid w:val="FDFE9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941</Words>
  <Characters>994</Characters>
  <Lines>0</Lines>
  <Paragraphs>0</Paragraphs>
  <TotalTime>89</TotalTime>
  <ScaleCrop>false</ScaleCrop>
  <LinksUpToDate>false</LinksUpToDate>
  <CharactersWithSpaces>995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2023-12-28T20:35:00Z</dcterms:created>
  <dc:creator>zfbgt</dc:creator>
  <cp:lastModifiedBy>Administrator</cp:lastModifiedBy>
  <cp:lastPrinted>2026-01-21T10:44:03Z</cp:lastPrinted>
  <dcterms:modified xsi:type="dcterms:W3CDTF">2026-01-28T08:13:56Z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eyJoZGlkIjoiZTk5NGIxYjY4NDRhNDg3OGVhNDM3YjZlN2I2YTZkOWYiLCJ1c2VySWQiOiIyNTU2ODAyNDMifQ==</vt:lpwstr>
  </property>
  <property fmtid="{D5CDD505-2E9C-101B-9397-08002B2CF9AE}" pid="4" name="ICV">
    <vt:lpwstr>B03A40191F894220A25EE20B50B15F26_12</vt:lpwstr>
  </property>
</Properties>
</file>