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额敏县交通运输局2025年度</w:t>
      </w:r>
      <w:r>
        <w:rPr>
          <w:rFonts w:hint="eastAsia" w:ascii="方正小标宋简体" w:hAnsi="方正小标宋简体" w:eastAsia="方正小标宋简体" w:cs="方正小标宋简体"/>
          <w:sz w:val="44"/>
          <w:szCs w:val="44"/>
        </w:rPr>
        <w:t>政府信息公开工作年度报</w:t>
      </w:r>
      <w:r>
        <w:rPr>
          <w:rFonts w:hint="eastAsia" w:ascii="方正小标宋简体" w:hAnsi="方正小标宋简体" w:eastAsia="方正小标宋简体" w:cs="方正小标宋简体"/>
          <w:sz w:val="44"/>
          <w:szCs w:val="44"/>
          <w:lang w:val="en-US" w:eastAsia="zh-CN"/>
        </w:rPr>
        <w:t>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本报告根据</w:t>
      </w:r>
      <w:bookmarkStart w:id="1" w:name="_GoBack"/>
      <w:bookmarkEnd w:id="1"/>
      <w:r>
        <w:rPr>
          <w:rFonts w:hint="eastAsia" w:ascii="仿宋_GB2312" w:hAnsi="仿宋_GB2312" w:eastAsia="仿宋_GB2312" w:cs="仿宋_GB2312"/>
          <w:sz w:val="32"/>
          <w:szCs w:val="32"/>
          <w:lang w:val="en-US" w:eastAsia="zh-CN"/>
        </w:rPr>
        <w:t>《中华人民共和国政府信息公开条例》（国务院令第711号）、《关于印发&lt;中华人民共和国政府信息公开工作年度报告格式&gt;的通知》（国办公开办函〔2021〕30号）及《新疆维吾尔自治区实施&lt;政府信息公开条例&gt;办法》要求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额敏县交通运输局坚持全面贯彻落实党的二十届三中全会及四中全会精神，完整准确全面贯彻新时代党的治疆方略，严格对标《中华人民共和国政府信息公开条例》及自治区、地区关于推进政府信息公开的最新决策部署。报告全文包括总体情况、主动公开政府信息情况、收到和处理政府信息公开申请情况、政府信息公开行政复议和行政诉讼情况、政府信息公开工作存在的主要问题及改进情况，以及其他需要报告的事项六个部分。报告统计期限为2025年1月1日至2025年12月31日。如对本报告有疑问，请与额敏县交通运输局办公室联系（地址：额敏县老街路29号，邮编：834600，电话：0901-3342505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bookmarkStart w:id="0" w:name="OLE_LINK1"/>
      <w:r>
        <w:rPr>
          <w:rFonts w:hint="eastAsia" w:ascii="黑体" w:hAnsi="黑体" w:eastAsia="黑体" w:cs="宋体"/>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414141"/>
          <w:spacing w:val="0"/>
          <w:sz w:val="32"/>
          <w:szCs w:val="32"/>
          <w:shd w:val="clear" w:color="auto" w:fill="FFFFFF"/>
        </w:rPr>
      </w:pPr>
      <w:r>
        <w:rPr>
          <w:rFonts w:hint="eastAsia" w:ascii="楷体_GB2312" w:hAnsi="楷体_GB2312" w:eastAsia="楷体_GB2312" w:cs="楷体_GB2312"/>
          <w:b/>
          <w:bCs/>
          <w:i w:val="0"/>
          <w:iCs w:val="0"/>
          <w:caps w:val="0"/>
          <w:color w:val="414141"/>
          <w:spacing w:val="0"/>
          <w:sz w:val="32"/>
          <w:szCs w:val="32"/>
          <w:shd w:val="clear" w:color="auto" w:fill="FFFFFF"/>
        </w:rPr>
        <w:t>（一）主动公开。</w:t>
      </w:r>
      <w:r>
        <w:rPr>
          <w:rFonts w:hint="eastAsia" w:ascii="仿宋_GB2312" w:hAnsi="仿宋_GB2312" w:eastAsia="仿宋_GB2312" w:cs="仿宋_GB2312"/>
          <w:i w:val="0"/>
          <w:iCs w:val="0"/>
          <w:caps w:val="0"/>
          <w:color w:val="414141"/>
          <w:spacing w:val="0"/>
          <w:sz w:val="32"/>
          <w:szCs w:val="32"/>
          <w:shd w:val="clear" w:color="auto" w:fill="FFFFFF"/>
          <w:lang w:val="en-US" w:eastAsia="zh-CN"/>
        </w:rPr>
        <w:t>2025年，额敏县</w:t>
      </w:r>
      <w:r>
        <w:rPr>
          <w:rFonts w:hint="eastAsia" w:ascii="仿宋_GB2312" w:hAnsi="仿宋_GB2312" w:eastAsia="仿宋_GB2312" w:cs="仿宋_GB2312"/>
          <w:i w:val="0"/>
          <w:iCs w:val="0"/>
          <w:caps w:val="0"/>
          <w:color w:val="414141"/>
          <w:spacing w:val="0"/>
          <w:sz w:val="32"/>
          <w:szCs w:val="32"/>
          <w:shd w:val="clear" w:color="auto" w:fill="FFFFFF"/>
        </w:rPr>
        <w:t>交通运输局把政府信息公开作为政府工作的基本要求，深入推进政务公开，充分保障人民群众的知情权坚持以“公开为常态、不公开为例外”原则，以公开促进依法行政。强调主动公开和发布时限，严把保密审查关，规范公开程序和要求，确保信息公开的及时性、权威性、准确性</w:t>
      </w:r>
      <w:r>
        <w:rPr>
          <w:rFonts w:hint="eastAsia" w:ascii="仿宋_GB2312" w:hAnsi="仿宋_GB2312" w:eastAsia="仿宋_GB2312" w:cs="仿宋_GB2312"/>
          <w:i w:val="0"/>
          <w:iCs w:val="0"/>
          <w:caps w:val="0"/>
          <w:color w:val="414141"/>
          <w:spacing w:val="0"/>
          <w:sz w:val="32"/>
          <w:szCs w:val="32"/>
          <w:shd w:val="clear" w:color="auto" w:fill="FFFFFF"/>
          <w:lang w:eastAsia="zh-CN"/>
        </w:rPr>
        <w:t>。</w:t>
      </w:r>
      <w:r>
        <w:rPr>
          <w:rFonts w:hint="eastAsia" w:ascii="仿宋_GB2312" w:hAnsi="仿宋_GB2312" w:eastAsia="仿宋_GB2312" w:cs="仿宋_GB2312"/>
          <w:i w:val="0"/>
          <w:iCs w:val="0"/>
          <w:caps w:val="0"/>
          <w:color w:val="414141"/>
          <w:spacing w:val="0"/>
          <w:sz w:val="32"/>
          <w:szCs w:val="32"/>
          <w:shd w:val="clear" w:color="auto" w:fill="FFFFFF"/>
        </w:rPr>
        <w:t>202</w:t>
      </w:r>
      <w:r>
        <w:rPr>
          <w:rFonts w:hint="eastAsia" w:ascii="仿宋_GB2312" w:hAnsi="仿宋_GB2312" w:eastAsia="仿宋_GB2312" w:cs="仿宋_GB2312"/>
          <w:i w:val="0"/>
          <w:iCs w:val="0"/>
          <w:caps w:val="0"/>
          <w:color w:val="414141"/>
          <w:spacing w:val="0"/>
          <w:sz w:val="32"/>
          <w:szCs w:val="32"/>
          <w:shd w:val="clear" w:color="auto" w:fill="FFFFFF"/>
          <w:lang w:val="en-US" w:eastAsia="zh-CN"/>
        </w:rPr>
        <w:t>5</w:t>
      </w:r>
      <w:r>
        <w:rPr>
          <w:rFonts w:hint="eastAsia" w:ascii="仿宋_GB2312" w:hAnsi="仿宋_GB2312" w:eastAsia="仿宋_GB2312" w:cs="仿宋_GB2312"/>
          <w:i w:val="0"/>
          <w:iCs w:val="0"/>
          <w:caps w:val="0"/>
          <w:color w:val="414141"/>
          <w:spacing w:val="0"/>
          <w:sz w:val="32"/>
          <w:szCs w:val="32"/>
          <w:shd w:val="clear" w:color="auto" w:fill="FFFFFF"/>
        </w:rPr>
        <w:t>年，</w:t>
      </w:r>
      <w:r>
        <w:rPr>
          <w:rFonts w:hint="eastAsia" w:ascii="仿宋_GB2312" w:hAnsi="仿宋_GB2312" w:eastAsia="仿宋_GB2312" w:cs="仿宋_GB2312"/>
          <w:i w:val="0"/>
          <w:iCs w:val="0"/>
          <w:caps w:val="0"/>
          <w:color w:val="414141"/>
          <w:spacing w:val="0"/>
          <w:sz w:val="32"/>
          <w:szCs w:val="32"/>
          <w:shd w:val="clear" w:color="auto" w:fill="FFFFFF"/>
          <w:lang w:val="en-US" w:eastAsia="zh-CN"/>
        </w:rPr>
        <w:t>交通运输</w:t>
      </w:r>
      <w:r>
        <w:rPr>
          <w:rFonts w:hint="eastAsia" w:ascii="仿宋_GB2312" w:hAnsi="仿宋_GB2312" w:eastAsia="仿宋_GB2312" w:cs="仿宋_GB2312"/>
          <w:i w:val="0"/>
          <w:iCs w:val="0"/>
          <w:caps w:val="0"/>
          <w:color w:val="414141"/>
          <w:spacing w:val="0"/>
          <w:sz w:val="32"/>
          <w:szCs w:val="32"/>
          <w:shd w:val="clear" w:color="auto" w:fill="FFFFFF"/>
        </w:rPr>
        <w:t>局及时为群众提供了行政</w:t>
      </w:r>
      <w:r>
        <w:rPr>
          <w:rFonts w:hint="eastAsia" w:ascii="仿宋_GB2312" w:hAnsi="仿宋_GB2312" w:eastAsia="仿宋_GB2312" w:cs="仿宋_GB2312"/>
          <w:i w:val="0"/>
          <w:iCs w:val="0"/>
          <w:caps w:val="0"/>
          <w:color w:val="414141"/>
          <w:spacing w:val="0"/>
          <w:sz w:val="32"/>
          <w:szCs w:val="32"/>
          <w:shd w:val="clear" w:color="auto" w:fill="FFFFFF"/>
          <w:lang w:val="en-US" w:eastAsia="zh-CN"/>
        </w:rPr>
        <w:t>许可</w:t>
      </w:r>
      <w:r>
        <w:rPr>
          <w:rFonts w:hint="eastAsia" w:ascii="仿宋_GB2312" w:hAnsi="仿宋_GB2312" w:eastAsia="仿宋_GB2312" w:cs="仿宋_GB2312"/>
          <w:i w:val="0"/>
          <w:iCs w:val="0"/>
          <w:caps w:val="0"/>
          <w:color w:val="414141"/>
          <w:spacing w:val="0"/>
          <w:sz w:val="32"/>
          <w:szCs w:val="32"/>
          <w:shd w:val="clear" w:color="auto" w:fill="FFFFFF"/>
        </w:rPr>
        <w:t>、</w:t>
      </w:r>
      <w:r>
        <w:rPr>
          <w:rFonts w:hint="eastAsia" w:ascii="仿宋_GB2312" w:hAnsi="仿宋_GB2312" w:eastAsia="仿宋_GB2312" w:cs="仿宋_GB2312"/>
          <w:i w:val="0"/>
          <w:iCs w:val="0"/>
          <w:caps w:val="0"/>
          <w:color w:val="414141"/>
          <w:spacing w:val="0"/>
          <w:sz w:val="32"/>
          <w:szCs w:val="32"/>
          <w:shd w:val="clear" w:color="auto" w:fill="FFFFFF"/>
          <w:lang w:val="en-US" w:eastAsia="zh-CN"/>
        </w:rPr>
        <w:t>行政处罚、行政强制</w:t>
      </w:r>
      <w:r>
        <w:rPr>
          <w:rFonts w:hint="eastAsia" w:ascii="仿宋_GB2312" w:hAnsi="仿宋_GB2312" w:eastAsia="仿宋_GB2312" w:cs="仿宋_GB2312"/>
          <w:i w:val="0"/>
          <w:iCs w:val="0"/>
          <w:caps w:val="0"/>
          <w:color w:val="414141"/>
          <w:spacing w:val="0"/>
          <w:sz w:val="32"/>
          <w:szCs w:val="32"/>
          <w:shd w:val="clear" w:color="auto" w:fill="FFFFFF"/>
        </w:rPr>
        <w:t>等动态信息</w:t>
      </w:r>
      <w:r>
        <w:rPr>
          <w:rFonts w:hint="eastAsia" w:ascii="仿宋_GB2312" w:hAnsi="仿宋_GB2312" w:eastAsia="仿宋_GB2312" w:cs="仿宋_GB2312"/>
          <w:i w:val="0"/>
          <w:iCs w:val="0"/>
          <w:caps w:val="0"/>
          <w:color w:val="414141"/>
          <w:spacing w:val="0"/>
          <w:sz w:val="32"/>
          <w:szCs w:val="32"/>
          <w:shd w:val="clear" w:color="auto" w:fill="FFFFFF"/>
          <w:lang w:val="en-US" w:eastAsia="zh-CN"/>
        </w:rPr>
        <w:t>公开</w:t>
      </w:r>
      <w:r>
        <w:rPr>
          <w:rFonts w:hint="eastAsia" w:ascii="仿宋_GB2312" w:hAnsi="仿宋_GB2312" w:eastAsia="仿宋_GB2312" w:cs="仿宋_GB2312"/>
          <w:i w:val="0"/>
          <w:iCs w:val="0"/>
          <w:caps w:val="0"/>
          <w:color w:val="414141"/>
          <w:spacing w:val="0"/>
          <w:sz w:val="32"/>
          <w:szCs w:val="32"/>
          <w:shd w:val="clear" w:color="auto" w:fill="FFFFFF"/>
        </w:rPr>
        <w:t>，</w:t>
      </w:r>
      <w:r>
        <w:rPr>
          <w:rFonts w:hint="eastAsia" w:ascii="仿宋_GB2312" w:hAnsi="仿宋_GB2312" w:eastAsia="仿宋_GB2312" w:cs="仿宋_GB2312"/>
          <w:i w:val="0"/>
          <w:iCs w:val="0"/>
          <w:caps w:val="0"/>
          <w:color w:val="414141"/>
          <w:spacing w:val="0"/>
          <w:sz w:val="32"/>
          <w:szCs w:val="32"/>
          <w:shd w:val="clear" w:color="auto" w:fill="FFFFFF"/>
          <w:lang w:val="en-US" w:eastAsia="zh-CN"/>
        </w:rPr>
        <w:t>全年共公示信息64次，其中公示行政许可7次8条，</w:t>
      </w:r>
      <w:r>
        <w:rPr>
          <w:rFonts w:hint="eastAsia" w:ascii="仿宋_GB2312" w:hAnsi="仿宋_GB2312" w:eastAsia="仿宋_GB2312" w:cs="仿宋_GB2312"/>
          <w:i w:val="0"/>
          <w:iCs w:val="0"/>
          <w:caps w:val="0"/>
          <w:color w:val="414141"/>
          <w:spacing w:val="0"/>
          <w:sz w:val="32"/>
          <w:szCs w:val="32"/>
          <w:highlight w:val="none"/>
          <w:shd w:val="clear" w:color="auto" w:fill="FFFFFF"/>
          <w:lang w:val="en-US" w:eastAsia="zh-CN"/>
        </w:rPr>
        <w:t>公示行政处罚27次177条，行政强制12条，公路工程基础设施信息9条，综合交通运输相关服务信息9条，其他信息12条，额敏县</w:t>
      </w:r>
      <w:r>
        <w:rPr>
          <w:rFonts w:hint="eastAsia" w:ascii="仿宋_GB2312" w:hAnsi="仿宋_GB2312" w:eastAsia="仿宋_GB2312" w:cs="仿宋_GB2312"/>
          <w:i w:val="0"/>
          <w:iCs w:val="0"/>
          <w:caps w:val="0"/>
          <w:color w:val="414141"/>
          <w:spacing w:val="0"/>
          <w:sz w:val="32"/>
          <w:szCs w:val="32"/>
          <w:shd w:val="clear" w:color="auto" w:fill="FFFFFF"/>
          <w:lang w:val="en-US" w:eastAsia="zh-CN"/>
        </w:rPr>
        <w:t>交通运输局公示栏公示党务公开12次，政务公开12次，财务公开12次</w:t>
      </w:r>
      <w:r>
        <w:rPr>
          <w:rFonts w:hint="eastAsia" w:ascii="仿宋_GB2312" w:hAnsi="仿宋_GB2312" w:eastAsia="仿宋_GB2312" w:cs="仿宋_GB2312"/>
          <w:i w:val="0"/>
          <w:iCs w:val="0"/>
          <w:caps w:val="0"/>
          <w:color w:val="414141"/>
          <w:spacing w:val="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414141"/>
          <w:spacing w:val="0"/>
          <w:sz w:val="32"/>
          <w:szCs w:val="32"/>
          <w:shd w:val="clear" w:color="auto" w:fill="FFFFFF"/>
        </w:rPr>
      </w:pPr>
      <w:r>
        <w:rPr>
          <w:rFonts w:hint="eastAsia" w:ascii="楷体_GB2312" w:hAnsi="楷体_GB2312" w:eastAsia="楷体_GB2312" w:cs="楷体_GB2312"/>
          <w:b/>
          <w:bCs/>
          <w:i w:val="0"/>
          <w:iCs w:val="0"/>
          <w:caps w:val="0"/>
          <w:color w:val="414141"/>
          <w:spacing w:val="0"/>
          <w:sz w:val="32"/>
          <w:szCs w:val="32"/>
          <w:shd w:val="clear" w:color="auto" w:fill="FFFFFF"/>
        </w:rPr>
        <w:t>（二）依申请公开情况。</w:t>
      </w:r>
      <w:r>
        <w:rPr>
          <w:rFonts w:hint="eastAsia" w:ascii="仿宋_GB2312" w:hAnsi="仿宋_GB2312" w:eastAsia="仿宋_GB2312" w:cs="仿宋_GB2312"/>
          <w:i w:val="0"/>
          <w:iCs w:val="0"/>
          <w:caps w:val="0"/>
          <w:color w:val="414141"/>
          <w:spacing w:val="0"/>
          <w:sz w:val="32"/>
          <w:szCs w:val="32"/>
          <w:shd w:val="clear" w:color="auto" w:fill="FFFFFF"/>
        </w:rPr>
        <w:t>202</w:t>
      </w:r>
      <w:r>
        <w:rPr>
          <w:rFonts w:hint="eastAsia" w:ascii="仿宋_GB2312" w:hAnsi="仿宋_GB2312" w:eastAsia="仿宋_GB2312" w:cs="仿宋_GB2312"/>
          <w:i w:val="0"/>
          <w:iCs w:val="0"/>
          <w:caps w:val="0"/>
          <w:color w:val="414141"/>
          <w:spacing w:val="0"/>
          <w:sz w:val="32"/>
          <w:szCs w:val="32"/>
          <w:shd w:val="clear" w:color="auto" w:fill="FFFFFF"/>
          <w:lang w:val="en-US" w:eastAsia="zh-CN"/>
        </w:rPr>
        <w:t>5</w:t>
      </w:r>
      <w:r>
        <w:rPr>
          <w:rFonts w:hint="eastAsia" w:ascii="仿宋_GB2312" w:hAnsi="仿宋_GB2312" w:eastAsia="仿宋_GB2312" w:cs="仿宋_GB2312"/>
          <w:i w:val="0"/>
          <w:iCs w:val="0"/>
          <w:caps w:val="0"/>
          <w:color w:val="414141"/>
          <w:spacing w:val="0"/>
          <w:sz w:val="32"/>
          <w:szCs w:val="32"/>
          <w:shd w:val="clear" w:color="auto" w:fill="FFFFFF"/>
        </w:rPr>
        <w:t>年，</w:t>
      </w:r>
      <w:r>
        <w:rPr>
          <w:rFonts w:hint="eastAsia" w:ascii="仿宋_GB2312" w:hAnsi="仿宋_GB2312" w:eastAsia="仿宋_GB2312" w:cs="仿宋_GB2312"/>
          <w:i w:val="0"/>
          <w:iCs w:val="0"/>
          <w:caps w:val="0"/>
          <w:color w:val="414141"/>
          <w:spacing w:val="0"/>
          <w:sz w:val="32"/>
          <w:szCs w:val="32"/>
          <w:shd w:val="clear" w:color="auto" w:fill="FFFFFF"/>
          <w:lang w:eastAsia="zh-CN"/>
        </w:rPr>
        <w:t>额敏县交通运输</w:t>
      </w:r>
      <w:r>
        <w:rPr>
          <w:rFonts w:hint="eastAsia" w:ascii="仿宋_GB2312" w:hAnsi="仿宋_GB2312" w:eastAsia="仿宋_GB2312" w:cs="仿宋_GB2312"/>
          <w:i w:val="0"/>
          <w:iCs w:val="0"/>
          <w:caps w:val="0"/>
          <w:color w:val="414141"/>
          <w:spacing w:val="0"/>
          <w:sz w:val="32"/>
          <w:szCs w:val="32"/>
          <w:shd w:val="clear" w:color="auto" w:fill="FFFFFF"/>
        </w:rPr>
        <w:t>局未收到依申请公开政府信息的情况。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414141"/>
          <w:spacing w:val="0"/>
          <w:sz w:val="32"/>
          <w:szCs w:val="32"/>
          <w:shd w:val="clear" w:color="auto" w:fill="FFFFFF"/>
        </w:rPr>
      </w:pPr>
      <w:r>
        <w:rPr>
          <w:rFonts w:hint="eastAsia" w:ascii="楷体_GB2312" w:hAnsi="楷体_GB2312" w:eastAsia="楷体_GB2312" w:cs="楷体_GB2312"/>
          <w:b/>
          <w:bCs/>
          <w:i w:val="0"/>
          <w:iCs w:val="0"/>
          <w:caps w:val="0"/>
          <w:color w:val="414141"/>
          <w:spacing w:val="0"/>
          <w:sz w:val="32"/>
          <w:szCs w:val="32"/>
          <w:shd w:val="clear" w:color="auto" w:fill="FFFFFF"/>
        </w:rPr>
        <w:t>（三）政府信息管理情况。</w:t>
      </w:r>
      <w:r>
        <w:rPr>
          <w:rFonts w:hint="eastAsia" w:ascii="仿宋_GB2312" w:hAnsi="仿宋_GB2312" w:eastAsia="仿宋_GB2312" w:cs="仿宋_GB2312"/>
          <w:b/>
          <w:bCs/>
          <w:i w:val="0"/>
          <w:iCs w:val="0"/>
          <w:caps w:val="0"/>
          <w:color w:val="414141"/>
          <w:spacing w:val="0"/>
          <w:sz w:val="32"/>
          <w:szCs w:val="32"/>
          <w:shd w:val="clear" w:color="auto" w:fill="FFFFFF"/>
        </w:rPr>
        <w:t>一是</w:t>
      </w:r>
      <w:r>
        <w:rPr>
          <w:rFonts w:hint="eastAsia" w:ascii="仿宋_GB2312" w:hAnsi="仿宋_GB2312" w:eastAsia="仿宋_GB2312" w:cs="仿宋_GB2312"/>
          <w:i w:val="0"/>
          <w:iCs w:val="0"/>
          <w:caps w:val="0"/>
          <w:color w:val="414141"/>
          <w:spacing w:val="0"/>
          <w:sz w:val="32"/>
          <w:szCs w:val="32"/>
          <w:shd w:val="clear" w:color="auto" w:fill="FFFFFF"/>
        </w:rPr>
        <w:t>树牢政府信息公开红线意识和底线思维，由局领导一手抓，加强政府信息公开发布审查工作，进一步规范发布工作，保证所发布的信息合法、准确。</w:t>
      </w:r>
      <w:r>
        <w:rPr>
          <w:rFonts w:hint="eastAsia" w:ascii="仿宋_GB2312" w:hAnsi="仿宋_GB2312" w:eastAsia="仿宋_GB2312" w:cs="仿宋_GB2312"/>
          <w:b/>
          <w:bCs/>
          <w:i w:val="0"/>
          <w:iCs w:val="0"/>
          <w:caps w:val="0"/>
          <w:color w:val="414141"/>
          <w:spacing w:val="0"/>
          <w:sz w:val="32"/>
          <w:szCs w:val="32"/>
          <w:shd w:val="clear" w:color="auto" w:fill="FFFFFF"/>
        </w:rPr>
        <w:t>二是</w:t>
      </w:r>
      <w:r>
        <w:rPr>
          <w:rFonts w:hint="eastAsia" w:ascii="仿宋_GB2312" w:hAnsi="仿宋_GB2312" w:eastAsia="仿宋_GB2312" w:cs="仿宋_GB2312"/>
          <w:i w:val="0"/>
          <w:iCs w:val="0"/>
          <w:caps w:val="0"/>
          <w:color w:val="414141"/>
          <w:spacing w:val="0"/>
          <w:sz w:val="32"/>
          <w:szCs w:val="32"/>
          <w:shd w:val="clear" w:color="auto" w:fill="FFFFFF"/>
        </w:rPr>
        <w:t>按照便利、实用、有效的原则，坚持每月通过政府网站栏目更新公开内容，提高政务工作透明度，接受人民群众的监督，促进依法行政，充分发挥职能作用。</w:t>
      </w:r>
      <w:r>
        <w:rPr>
          <w:rFonts w:hint="eastAsia" w:ascii="仿宋_GB2312" w:hAnsi="仿宋_GB2312" w:eastAsia="仿宋_GB2312" w:cs="仿宋_GB2312"/>
          <w:b/>
          <w:bCs/>
          <w:i w:val="0"/>
          <w:iCs w:val="0"/>
          <w:caps w:val="0"/>
          <w:color w:val="414141"/>
          <w:spacing w:val="0"/>
          <w:sz w:val="32"/>
          <w:szCs w:val="32"/>
          <w:shd w:val="clear" w:color="auto" w:fill="FFFFFF"/>
        </w:rPr>
        <w:t>三是</w:t>
      </w:r>
      <w:r>
        <w:rPr>
          <w:rFonts w:hint="eastAsia" w:ascii="仿宋_GB2312" w:hAnsi="仿宋_GB2312" w:eastAsia="仿宋_GB2312" w:cs="仿宋_GB2312"/>
          <w:i w:val="0"/>
          <w:iCs w:val="0"/>
          <w:caps w:val="0"/>
          <w:color w:val="414141"/>
          <w:spacing w:val="0"/>
          <w:sz w:val="32"/>
          <w:szCs w:val="32"/>
          <w:shd w:val="clear" w:color="auto" w:fill="FFFFFF"/>
          <w:lang w:eastAsia="zh-CN"/>
        </w:rPr>
        <w:t>额敏县</w:t>
      </w:r>
      <w:r>
        <w:rPr>
          <w:rFonts w:hint="eastAsia" w:ascii="仿宋_GB2312" w:hAnsi="仿宋_GB2312" w:eastAsia="仿宋_GB2312" w:cs="仿宋_GB2312"/>
          <w:i w:val="0"/>
          <w:iCs w:val="0"/>
          <w:caps w:val="0"/>
          <w:color w:val="414141"/>
          <w:spacing w:val="0"/>
          <w:sz w:val="32"/>
          <w:szCs w:val="32"/>
          <w:shd w:val="clear" w:color="auto" w:fill="FFFFFF"/>
          <w:lang w:val="en-US" w:eastAsia="zh-CN"/>
        </w:rPr>
        <w:t>交通运输局</w:t>
      </w:r>
      <w:r>
        <w:rPr>
          <w:rFonts w:hint="eastAsia" w:ascii="仿宋_GB2312" w:hAnsi="仿宋_GB2312" w:eastAsia="仿宋_GB2312" w:cs="仿宋_GB2312"/>
          <w:i w:val="0"/>
          <w:iCs w:val="0"/>
          <w:caps w:val="0"/>
          <w:color w:val="414141"/>
          <w:spacing w:val="0"/>
          <w:sz w:val="32"/>
          <w:szCs w:val="32"/>
          <w:shd w:val="clear" w:color="auto" w:fill="FFFFFF"/>
        </w:rPr>
        <w:t>立足工作实际和职能范围，认真梳理和分析公开内容，经分管领导、主要领导审核之后方可公示。对按规定或经过审核暂不宜公开的事项予以明确。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414141"/>
          <w:spacing w:val="0"/>
          <w:sz w:val="32"/>
          <w:szCs w:val="32"/>
          <w:shd w:val="clear" w:color="auto" w:fill="FFFFFF"/>
        </w:rPr>
      </w:pPr>
      <w:r>
        <w:rPr>
          <w:rFonts w:hint="eastAsia" w:ascii="楷体_GB2312" w:hAnsi="楷体_GB2312" w:eastAsia="楷体_GB2312" w:cs="楷体_GB2312"/>
          <w:b/>
          <w:bCs/>
          <w:i w:val="0"/>
          <w:iCs w:val="0"/>
          <w:caps w:val="0"/>
          <w:color w:val="414141"/>
          <w:spacing w:val="0"/>
          <w:sz w:val="32"/>
          <w:szCs w:val="32"/>
          <w:shd w:val="clear" w:color="auto" w:fill="FFFFFF"/>
        </w:rPr>
        <w:t>（四）平台建设情况。</w:t>
      </w:r>
      <w:r>
        <w:rPr>
          <w:rFonts w:hint="eastAsia" w:ascii="仿宋_GB2312" w:hAnsi="仿宋_GB2312" w:eastAsia="仿宋_GB2312" w:cs="仿宋_GB2312"/>
          <w:i w:val="0"/>
          <w:iCs w:val="0"/>
          <w:caps w:val="0"/>
          <w:color w:val="414141"/>
          <w:spacing w:val="0"/>
          <w:sz w:val="32"/>
          <w:szCs w:val="32"/>
          <w:shd w:val="clear" w:color="auto" w:fill="FFFFFF"/>
        </w:rPr>
        <w:t>定期对政府网站市交通运输局栏目进行内容更新，进一步增强服务意识，强化发布信息的有效性</w:t>
      </w:r>
      <w:r>
        <w:rPr>
          <w:rFonts w:hint="eastAsia" w:ascii="仿宋_GB2312" w:hAnsi="仿宋_GB2312" w:eastAsia="仿宋_GB2312" w:cs="仿宋_GB2312"/>
          <w:i w:val="0"/>
          <w:iCs w:val="0"/>
          <w:caps w:val="0"/>
          <w:color w:val="414141"/>
          <w:spacing w:val="0"/>
          <w:sz w:val="32"/>
          <w:szCs w:val="32"/>
          <w:shd w:val="clear" w:color="auto" w:fill="FFFFFF"/>
          <w:lang w:eastAsia="zh-CN"/>
        </w:rPr>
        <w:t>、</w:t>
      </w:r>
      <w:r>
        <w:rPr>
          <w:rFonts w:hint="eastAsia" w:ascii="仿宋_GB2312" w:hAnsi="仿宋_GB2312" w:eastAsia="仿宋_GB2312" w:cs="仿宋_GB2312"/>
          <w:i w:val="0"/>
          <w:iCs w:val="0"/>
          <w:caps w:val="0"/>
          <w:color w:val="414141"/>
          <w:spacing w:val="0"/>
          <w:sz w:val="32"/>
          <w:szCs w:val="32"/>
          <w:shd w:val="clear" w:color="auto" w:fill="FFFFFF"/>
        </w:rPr>
        <w:t>及时性和准确性，不断提升信息内容质量。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eastAsia="zh-CN"/>
        </w:rPr>
      </w:pPr>
      <w:r>
        <w:rPr>
          <w:rFonts w:hint="eastAsia" w:ascii="楷体_GB2312" w:hAnsi="楷体_GB2312" w:eastAsia="楷体_GB2312" w:cs="楷体_GB2312"/>
          <w:b/>
          <w:bCs/>
          <w:i w:val="0"/>
          <w:iCs w:val="0"/>
          <w:caps w:val="0"/>
          <w:color w:val="414141"/>
          <w:spacing w:val="0"/>
          <w:kern w:val="0"/>
          <w:sz w:val="32"/>
          <w:szCs w:val="32"/>
          <w:shd w:val="clear" w:color="auto" w:fill="FFFFFF"/>
          <w:lang w:val="en-US" w:eastAsia="zh-CN" w:bidi="ar-SA"/>
        </w:rPr>
        <w:t>（五）监督保障情况。</w:t>
      </w:r>
      <w:r>
        <w:rPr>
          <w:rFonts w:hint="eastAsia" w:ascii="仿宋_GB2312" w:hAnsi="仿宋_GB2312" w:eastAsia="仿宋_GB2312" w:cs="仿宋_GB2312"/>
          <w:i w:val="0"/>
          <w:iCs w:val="0"/>
          <w:caps w:val="0"/>
          <w:color w:val="414141"/>
          <w:spacing w:val="0"/>
          <w:sz w:val="32"/>
          <w:szCs w:val="32"/>
          <w:shd w:val="clear" w:color="auto" w:fill="FFFFFF"/>
        </w:rPr>
        <w:t>成立政府信息公开工作领导小组，确保</w:t>
      </w:r>
      <w:r>
        <w:rPr>
          <w:rFonts w:hint="eastAsia" w:ascii="仿宋_GB2312" w:hAnsi="仿宋_GB2312" w:eastAsia="仿宋_GB2312" w:cs="仿宋_GB2312"/>
          <w:i w:val="0"/>
          <w:iCs w:val="0"/>
          <w:caps w:val="0"/>
          <w:color w:val="414141"/>
          <w:spacing w:val="0"/>
          <w:sz w:val="32"/>
          <w:szCs w:val="32"/>
          <w:shd w:val="clear" w:color="auto" w:fill="FFFFFF"/>
          <w:lang w:val="en-US" w:eastAsia="zh-CN"/>
        </w:rPr>
        <w:t>2025年</w:t>
      </w:r>
      <w:r>
        <w:rPr>
          <w:rFonts w:hint="eastAsia" w:ascii="仿宋_GB2312" w:hAnsi="仿宋_GB2312" w:eastAsia="仿宋_GB2312" w:cs="仿宋_GB2312"/>
          <w:i w:val="0"/>
          <w:iCs w:val="0"/>
          <w:caps w:val="0"/>
          <w:color w:val="414141"/>
          <w:spacing w:val="0"/>
          <w:sz w:val="32"/>
          <w:szCs w:val="32"/>
          <w:shd w:val="clear" w:color="auto" w:fill="FFFFFF"/>
        </w:rPr>
        <w:t>政府信息公开工作有人管、有人抓、有人落实，局主要领导定期听取政府信息公开情况，协调解决信息公开过程中遇到的问题，每月定期组织相关科室人员对拟公开信息的内容进行研判，不断提升信息公开质量。对于产生的政府信息，做到事前检查、事中审核、事后监督，各科室需公开的内容或公众申请公开的其他事项进行汇总整理，严格按照信息公开制度执行。</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本年制</w:t>
            </w:r>
            <w:r>
              <w:rPr>
                <w:rFonts w:hint="eastAsia" w:ascii="宋体" w:hAnsi="宋体" w:eastAsia="宋体" w:cs="宋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w:t>
            </w:r>
            <w:r>
              <w:rPr>
                <w:rFonts w:hint="eastAsia" w:ascii="宋体" w:hAnsi="宋体" w:eastAsia="宋体" w:cs="宋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009"/>
        <w:gridCol w:w="2979"/>
        <w:gridCol w:w="491"/>
        <w:gridCol w:w="703"/>
        <w:gridCol w:w="703"/>
        <w:gridCol w:w="703"/>
        <w:gridCol w:w="703"/>
        <w:gridCol w:w="514"/>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 w:hRule="atLeast"/>
          <w:tblHeader/>
          <w:jc w:val="center"/>
        </w:trPr>
        <w:tc>
          <w:tcPr>
            <w:tcW w:w="4733"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（本列数据的勾稽关系为：第一项加第二项之和，等于第三项加第四项之和）</w:t>
            </w:r>
          </w:p>
        </w:tc>
        <w:tc>
          <w:tcPr>
            <w:tcW w:w="4322" w:type="dxa"/>
            <w:gridSpan w:val="7"/>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49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自然人</w:t>
            </w:r>
          </w:p>
        </w:tc>
        <w:tc>
          <w:tcPr>
            <w:tcW w:w="3326"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法人或其他组织</w:t>
            </w:r>
          </w:p>
        </w:tc>
        <w:tc>
          <w:tcPr>
            <w:tcW w:w="50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49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商业企业</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科研机构</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社会公益组织</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法律服务机构</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tc>
        <w:tc>
          <w:tcPr>
            <w:tcW w:w="50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一、本年新收政府信息公开申请数量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二、上年结转政府信息公开申请数量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pacing w:val="-17"/>
                <w:sz w:val="21"/>
                <w:szCs w:val="21"/>
              </w:rPr>
            </w:pPr>
            <w:r>
              <w:rPr>
                <w:rFonts w:hint="default" w:ascii="Nimbus Roman" w:hAnsi="Nimbus Roman" w:eastAsia="宋体" w:cs="Nimbus Roman"/>
                <w:spacing w:val="-17"/>
                <w:sz w:val="21"/>
                <w:szCs w:val="21"/>
              </w:rPr>
              <w:t>本年度</w:t>
            </w:r>
            <w:r>
              <w:rPr>
                <w:rFonts w:hint="default" w:ascii="Nimbus Roman" w:hAnsi="Nimbus Roman" w:eastAsia="宋体" w:cs="Nimbus Roman"/>
                <w:sz w:val="21"/>
                <w:szCs w:val="21"/>
              </w:rPr>
              <w:t>办理结果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三、本年度办理结果</w:t>
            </w: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（一）予以公开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（二）部分公开（区分处理的，只计这一情形，不计其他情形）</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（三）</w:t>
            </w:r>
            <w:r>
              <w:rPr>
                <w:rFonts w:hint="default" w:ascii="Nimbus Roman" w:hAnsi="Nimbus Roman" w:eastAsia="宋体" w:cs="Nimbus Roman"/>
                <w:sz w:val="21"/>
                <w:szCs w:val="21"/>
              </w:rPr>
              <w:t>不予公开</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1.属于国家秘密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2.其他法律行政法规禁止公开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3.危及“三安全一稳定”</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4.保护第三方合法权益</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5.属于三类内部事务信息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6.属于四类过程性信息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7.属于行政执法案卷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8.属于行政查询事项</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（四）无法提供</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1.本机关不掌握相关政府信息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2.没有现成信息需要另行制作</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3.补正后申请内容仍不明确</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（五）</w:t>
            </w:r>
            <w:r>
              <w:rPr>
                <w:rFonts w:hint="default" w:ascii="Nimbus Roman" w:hAnsi="Nimbus Roman" w:eastAsia="宋体" w:cs="Nimbus Roman"/>
                <w:sz w:val="21"/>
                <w:szCs w:val="21"/>
              </w:rPr>
              <w:t>不予处理</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1.信访举报投诉类申请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3.要求提供公开出版物</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outline w:val="0"/>
                <w:shadow w:val="0"/>
                <w:emboss w:val="0"/>
                <w:imprint w:val="0"/>
                <w:vanish w:val="0"/>
                <w:spacing w:val="-6"/>
                <w:w w:val="100"/>
                <w:sz w:val="21"/>
                <w:szCs w:val="21"/>
                <w:u w:val="none"/>
              </w:rPr>
              <w:t>无正当理由大量反复申请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2979" w:type="dxa"/>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5.要求行政机关确认或重新出具已获取信息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sz w:val="21"/>
                <w:szCs w:val="21"/>
              </w:rPr>
            </w:pP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Nimbus Roman" w:hAnsi="Nimbus Roman" w:eastAsia="宋体" w:cs="Nimbus Roman"/>
                <w:sz w:val="21"/>
                <w:szCs w:val="21"/>
                <w:lang w:eastAsia="zh-CN"/>
              </w:rPr>
            </w:pPr>
            <w:r>
              <w:rPr>
                <w:rFonts w:hint="default" w:ascii="Nimbus Roman" w:hAnsi="Nimbus Roman" w:eastAsia="宋体" w:cs="Nimbus Roman"/>
                <w:sz w:val="21"/>
                <w:szCs w:val="21"/>
                <w:lang w:eastAsia="zh-CN"/>
              </w:rPr>
              <w:t>（六）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3"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2979"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3.其他</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宋体" w:cs="Nimbus Roman"/>
                <w:sz w:val="21"/>
                <w:szCs w:val="21"/>
              </w:rPr>
            </w:pPr>
          </w:p>
        </w:tc>
        <w:tc>
          <w:tcPr>
            <w:tcW w:w="3988" w:type="dxa"/>
            <w:gridSpan w:val="2"/>
            <w:tcBorders>
              <w:top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（七）总计</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四、结转下年度继续办理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w:t>
            </w:r>
          </w:p>
        </w:tc>
      </w:tr>
    </w:tbl>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val="en-US" w:eastAsia="zh-CN" w:bidi="ar"/>
              </w:rPr>
            </w:pPr>
            <w:r>
              <w:rPr>
                <w:rFonts w:hint="default" w:ascii="Nimbus Roman" w:hAnsi="Nimbus Roman" w:eastAsia="宋体" w:cs="Nimbus Roman"/>
                <w:kern w:val="0"/>
                <w:sz w:val="24"/>
                <w:lang w:bidi="ar"/>
              </w:rPr>
              <w:t>总</w:t>
            </w:r>
            <w:r>
              <w:rPr>
                <w:rFonts w:hint="default" w:ascii="Nimbus Roman" w:hAnsi="Nimbus Roman" w:eastAsia="宋体" w:cs="Nimbus Roman"/>
                <w:kern w:val="0"/>
                <w:sz w:val="24"/>
                <w:lang w:val="en-US" w:eastAsia="zh-CN" w:bidi="ar"/>
              </w:rPr>
              <w:t xml:space="preserve"> </w:t>
            </w:r>
            <w:r>
              <w:rPr>
                <w:rFonts w:hint="default" w:ascii="Nimbus Roman" w:hAnsi="Nimbus Roman" w:eastAsia="宋体" w:cs="Nimbus Roman"/>
                <w:kern w:val="0"/>
                <w:sz w:val="24"/>
                <w:lang w:bidi="ar"/>
              </w:rPr>
              <w:t>计</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2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42"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2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9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60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5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68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72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68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63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63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63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c>
          <w:tcPr>
            <w:tcW w:w="57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0</w:t>
            </w:r>
          </w:p>
        </w:tc>
      </w:tr>
    </w:tbl>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keepNext w:val="0"/>
        <w:keepLines w:val="0"/>
        <w:widowControl/>
        <w:suppressLineNumbers w:val="0"/>
        <w:ind w:firstLine="643" w:firstLineChars="200"/>
        <w:jc w:val="left"/>
        <w:rPr>
          <w:rFonts w:hint="eastAsia" w:ascii="楷体_GB2312" w:hAnsi="楷体_GB2312" w:eastAsia="楷体_GB2312" w:cs="楷体_GB2312"/>
          <w:b/>
          <w:bCs/>
          <w:i w:val="0"/>
          <w:iCs w:val="0"/>
          <w:caps w:val="0"/>
          <w:color w:val="414141"/>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414141"/>
          <w:spacing w:val="0"/>
          <w:kern w:val="2"/>
          <w:sz w:val="32"/>
          <w:szCs w:val="32"/>
          <w:shd w:val="clear" w:color="auto" w:fill="FFFFFF"/>
          <w:lang w:val="en-US" w:eastAsia="zh-CN" w:bidi="ar-SA"/>
        </w:rPr>
        <w:t>存在的主要问题：</w:t>
      </w:r>
    </w:p>
    <w:p>
      <w:pPr>
        <w:keepNext w:val="0"/>
        <w:keepLines w:val="0"/>
        <w:widowControl/>
        <w:suppressLineNumbers w:val="0"/>
        <w:ind w:firstLine="640" w:firstLineChars="200"/>
        <w:jc w:val="left"/>
        <w:rPr>
          <w:rFonts w:hint="eastAsia" w:ascii="仿宋_GB2312" w:hAnsi="仿宋_GB2312" w:eastAsia="仿宋_GB2312" w:cs="仿宋_GB2312"/>
          <w:b w:val="0"/>
          <w:bCs w:val="0"/>
          <w:i w:val="0"/>
          <w:iCs w:val="0"/>
          <w:caps w:val="0"/>
          <w:color w:val="414141"/>
          <w:spacing w:val="0"/>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414141"/>
          <w:spacing w:val="0"/>
          <w:kern w:val="2"/>
          <w:sz w:val="32"/>
          <w:szCs w:val="32"/>
          <w:shd w:val="clear" w:color="auto" w:fill="FFFFFF"/>
          <w:lang w:val="en-US" w:eastAsia="zh-CN" w:bidi="ar-SA"/>
        </w:rPr>
        <w:t>2025年，额敏县交通运输局政务公开工作在县委、县政府的统一部署下，紧扣交通运输中心工作，持续巩固2024年整改成效，不断优化公开流程、拓宽公开渠道，但对照上级关于政务公开工作的新要求、群众对交通运输领域信息的新期待，仍存在一些薄弱环节，一是公开主动性不足。部分工作人员存在“被动公开、应付公开”的惯性思维，缺乏主动服务意识，公开工作多满足于完成上级规定动作，主动预判群众需求、提前公开相关信息的意识薄弱。二是公开内容精准性不足。对群众高度关注的农村公路建设、行政许可、行政处罚等热点工作，缺乏全过程动态披露，未能充分满足群众知情权和监督权。三是落实公开要求时，存在流程简化、标准降低的情况，部分信息公开审核流程不够严谨，存在信息发布滞后、错别字、表述不规范等问题，影响政务公开工作质量。</w:t>
      </w:r>
    </w:p>
    <w:p>
      <w:pPr>
        <w:keepNext w:val="0"/>
        <w:keepLines w:val="0"/>
        <w:widowControl/>
        <w:suppressLineNumbers w:val="0"/>
        <w:ind w:firstLine="643" w:firstLineChars="200"/>
        <w:jc w:val="left"/>
        <w:rPr>
          <w:rFonts w:hint="eastAsia" w:ascii="楷体_GB2312" w:hAnsi="楷体_GB2312" w:eastAsia="楷体_GB2312" w:cs="楷体_GB2312"/>
          <w:b/>
          <w:bCs/>
          <w:i w:val="0"/>
          <w:iCs w:val="0"/>
          <w:caps w:val="0"/>
          <w:color w:val="414141"/>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414141"/>
          <w:spacing w:val="0"/>
          <w:kern w:val="2"/>
          <w:sz w:val="32"/>
          <w:szCs w:val="32"/>
          <w:shd w:val="clear" w:color="auto" w:fill="FFFFFF"/>
          <w:lang w:val="en-US" w:eastAsia="zh-CN" w:bidi="ar-SA"/>
        </w:rPr>
        <w:t>改进措施：</w:t>
      </w:r>
    </w:p>
    <w:p>
      <w:pPr>
        <w:keepNext w:val="0"/>
        <w:keepLines w:val="0"/>
        <w:widowControl/>
        <w:suppressLineNumbers w:val="0"/>
        <w:ind w:firstLine="640" w:firstLineChars="200"/>
        <w:jc w:val="left"/>
        <w:rPr>
          <w:rFonts w:hint="eastAsia" w:ascii="仿宋_GB2312" w:hAnsi="仿宋_GB2312" w:eastAsia="仿宋_GB2312" w:cs="仿宋_GB2312"/>
          <w:b w:val="0"/>
          <w:bCs w:val="0"/>
          <w:i w:val="0"/>
          <w:iCs w:val="0"/>
          <w:caps w:val="0"/>
          <w:color w:val="414141"/>
          <w:spacing w:val="0"/>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414141"/>
          <w:spacing w:val="0"/>
          <w:kern w:val="2"/>
          <w:sz w:val="32"/>
          <w:szCs w:val="32"/>
          <w:shd w:val="clear" w:color="auto" w:fill="FFFFFF"/>
          <w:lang w:val="en-US" w:eastAsia="zh-CN" w:bidi="ar-SA"/>
        </w:rPr>
        <w:t>一是强化主动意识，筑牢公开工作根基。树立“主动公开、精准服务”理念，引导工作人员摒弃被动应付思维，主动预判群众对交通运输政策、项目、服务的需求，提前梳理公开内容，变“要我公开”为“我要公开”。二是聚焦核心业务，提升公开内容精准度。围绕交通运输领域重点工作，明确各科室公开责任、公开时限和公开标准，推动从“应公开尽公开”向“应公开优公开”转变。三是压实工作责任，强化基层执行力度。加强业务培训，，重点讲解公开流程、信息审核、政策解读等内容，提升业务能力。建立“科室初审、办公室复审、分管领导终审”的三级审核机制，对拟公开信息的准确性、规范性、保密性进行严格审核，杜绝信息错发、漏发、乱发问题。</w:t>
      </w: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黑体" w:hAnsi="黑体" w:eastAsia="黑体" w:cs="宋体"/>
          <w:sz w:val="32"/>
          <w:szCs w:val="32"/>
        </w:rPr>
      </w:pPr>
      <w:r>
        <w:rPr>
          <w:rFonts w:hint="eastAsia" w:ascii="黑体" w:hAnsi="黑体" w:eastAsia="黑体" w:cs="宋体"/>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仿宋_GB2312" w:hAnsi="仿宋_GB2312" w:eastAsia="仿宋_GB2312" w:cs="仿宋_GB2312"/>
          <w:i w:val="0"/>
          <w:iCs w:val="0"/>
          <w:caps w:val="0"/>
          <w:color w:val="414141"/>
          <w:spacing w:val="0"/>
          <w:sz w:val="32"/>
          <w:szCs w:val="32"/>
          <w:shd w:val="clear" w:color="auto" w:fill="FFFFFF"/>
        </w:rPr>
      </w:pPr>
      <w:r>
        <w:rPr>
          <w:rFonts w:hint="eastAsia" w:ascii="仿宋_GB2312" w:hAnsi="仿宋_GB2312" w:eastAsia="仿宋_GB2312" w:cs="仿宋_GB2312"/>
          <w:i w:val="0"/>
          <w:iCs w:val="0"/>
          <w:caps w:val="0"/>
          <w:color w:val="414141"/>
          <w:spacing w:val="0"/>
          <w:sz w:val="32"/>
          <w:szCs w:val="32"/>
          <w:shd w:val="clear" w:color="auto" w:fill="FFFFFF"/>
          <w:lang w:val="en-US" w:eastAsia="zh-CN"/>
        </w:rPr>
        <w:t>本单位</w:t>
      </w:r>
      <w:r>
        <w:rPr>
          <w:rFonts w:hint="eastAsia" w:ascii="仿宋_GB2312" w:hAnsi="仿宋_GB2312" w:eastAsia="仿宋_GB2312" w:cs="仿宋_GB2312"/>
          <w:i w:val="0"/>
          <w:iCs w:val="0"/>
          <w:caps w:val="0"/>
          <w:color w:val="414141"/>
          <w:spacing w:val="0"/>
          <w:sz w:val="32"/>
          <w:szCs w:val="32"/>
          <w:shd w:val="clear" w:color="auto" w:fill="FFFFFF"/>
        </w:rPr>
        <w:t>按照《国务院办公厅关于印发&lt;政府信息公开信息处理费管理办法&gt;的通知》（国办函〔2020〕109号）规定的按件、按量收费标准，本年度未产生信息公开处理费。</w:t>
      </w: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仿宋_GB2312" w:hAnsi="仿宋_GB2312" w:eastAsia="仿宋_GB2312" w:cs="仿宋_GB2312"/>
          <w:i w:val="0"/>
          <w:iCs w:val="0"/>
          <w:caps w:val="0"/>
          <w:color w:val="414141"/>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仿宋_GB2312" w:hAnsi="仿宋_GB2312" w:eastAsia="仿宋_GB2312" w:cs="仿宋_GB2312"/>
          <w:i w:val="0"/>
          <w:iCs w:val="0"/>
          <w:caps w:val="0"/>
          <w:color w:val="414141"/>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ind w:firstLine="5430" w:firstLineChars="1697"/>
        <w:textAlignment w:val="auto"/>
        <w:rPr>
          <w:rFonts w:hint="eastAsia" w:ascii="仿宋_GB2312" w:hAnsi="仿宋_GB2312" w:eastAsia="仿宋_GB2312" w:cs="仿宋_GB2312"/>
          <w:i w:val="0"/>
          <w:iCs w:val="0"/>
          <w:caps w:val="0"/>
          <w:color w:val="414141"/>
          <w:spacing w:val="0"/>
          <w:sz w:val="32"/>
          <w:szCs w:val="32"/>
          <w:shd w:val="clear" w:color="auto" w:fill="FFFFFF"/>
          <w:lang w:val="en-US" w:eastAsia="zh-CN"/>
        </w:rPr>
      </w:pPr>
      <w:r>
        <w:rPr>
          <w:rFonts w:hint="eastAsia" w:ascii="仿宋_GB2312" w:hAnsi="仿宋_GB2312" w:eastAsia="仿宋_GB2312" w:cs="仿宋_GB2312"/>
          <w:i w:val="0"/>
          <w:iCs w:val="0"/>
          <w:caps w:val="0"/>
          <w:color w:val="414141"/>
          <w:spacing w:val="0"/>
          <w:sz w:val="32"/>
          <w:szCs w:val="32"/>
          <w:shd w:val="clear" w:color="auto" w:fill="FFFFFF"/>
          <w:lang w:val="en-US" w:eastAsia="zh-CN"/>
        </w:rPr>
        <w:t>额敏县交通运输局</w:t>
      </w:r>
    </w:p>
    <w:p>
      <w:pPr>
        <w:keepNext w:val="0"/>
        <w:keepLines w:val="0"/>
        <w:pageBreakBefore w:val="0"/>
        <w:kinsoku/>
        <w:wordWrap/>
        <w:overflowPunct/>
        <w:topLinePunct w:val="0"/>
        <w:autoSpaceDE/>
        <w:autoSpaceDN/>
        <w:bidi w:val="0"/>
        <w:adjustRightInd/>
        <w:snapToGrid/>
        <w:spacing w:line="560" w:lineRule="exact"/>
        <w:ind w:firstLine="5430" w:firstLineChars="1697"/>
        <w:textAlignment w:val="auto"/>
        <w:rPr>
          <w:rFonts w:hint="default" w:ascii="仿宋_GB2312" w:hAnsi="仿宋_GB2312" w:eastAsia="仿宋_GB2312" w:cs="仿宋_GB2312"/>
          <w:i w:val="0"/>
          <w:iCs w:val="0"/>
          <w:caps w:val="0"/>
          <w:color w:val="414141"/>
          <w:spacing w:val="0"/>
          <w:sz w:val="32"/>
          <w:szCs w:val="32"/>
          <w:shd w:val="clear" w:color="auto" w:fill="FFFFFF"/>
          <w:lang w:val="en-US" w:eastAsia="zh-CN"/>
        </w:rPr>
      </w:pPr>
      <w:r>
        <w:rPr>
          <w:rFonts w:hint="eastAsia" w:ascii="仿宋_GB2312" w:hAnsi="仿宋_GB2312" w:eastAsia="仿宋_GB2312" w:cs="仿宋_GB2312"/>
          <w:i w:val="0"/>
          <w:iCs w:val="0"/>
          <w:caps w:val="0"/>
          <w:color w:val="414141"/>
          <w:spacing w:val="0"/>
          <w:sz w:val="32"/>
          <w:szCs w:val="32"/>
          <w:shd w:val="clear" w:color="auto" w:fill="FFFFFF"/>
          <w:lang w:val="en-US" w:eastAsia="zh-CN"/>
        </w:rPr>
        <w:t>2026年1月23日</w:t>
      </w:r>
    </w:p>
    <w:sectPr>
      <w:footerReference r:id="rId3" w:type="default"/>
      <w:pgSz w:w="11906" w:h="16838"/>
      <w:pgMar w:top="1984" w:right="1531" w:bottom="1701" w:left="1531" w:header="851" w:footer="1417" w:gutter="0"/>
      <w:paperSrc/>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2A5571-3538-455A-B82D-61CE028155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A87BBBB-DA5A-41F9-9453-9080E8481A1A}"/>
  </w:font>
  <w:font w:name="方正小标宋简体">
    <w:panose1 w:val="03000509000000000000"/>
    <w:charset w:val="86"/>
    <w:family w:val="auto"/>
    <w:pitch w:val="default"/>
    <w:sig w:usb0="00000001" w:usb1="080E0000" w:usb2="00000000" w:usb3="00000000" w:csb0="00040000" w:csb1="00000000"/>
    <w:embedRegular r:id="rId3" w:fontKey="{D0006D4A-6F0A-4AA2-964B-3B7343357AEA}"/>
  </w:font>
  <w:font w:name="仿宋_GB2312">
    <w:panose1 w:val="02010609030101010101"/>
    <w:charset w:val="86"/>
    <w:family w:val="auto"/>
    <w:pitch w:val="default"/>
    <w:sig w:usb0="00000001" w:usb1="080E0000" w:usb2="00000000" w:usb3="00000000" w:csb0="00040000" w:csb1="00000000"/>
    <w:embedRegular r:id="rId4" w:fontKey="{FB6C358B-379F-45EB-BB44-9BB749D0D038}"/>
  </w:font>
  <w:font w:name="楷体_GB2312">
    <w:panose1 w:val="02010609030101010101"/>
    <w:charset w:val="86"/>
    <w:family w:val="auto"/>
    <w:pitch w:val="default"/>
    <w:sig w:usb0="00000000" w:usb1="00000000" w:usb2="00000000" w:usb3="00000000" w:csb0="00000000" w:csb1="00000000"/>
    <w:embedRegular r:id="rId5" w:fontKey="{F13CCFDE-201F-49AC-9AA3-61D950BBE2D5}"/>
  </w:font>
  <w:font w:name="Nimbus Roman">
    <w:altName w:val="Segoe Print"/>
    <w:panose1 w:val="00000500000000000000"/>
    <w:charset w:val="00"/>
    <w:family w:val="auto"/>
    <w:pitch w:val="default"/>
    <w:sig w:usb0="00000287" w:usb1="00000800" w:usb2="00000000" w:usb3="00000000" w:csb0="6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2F7E"/>
    <w:rsid w:val="0B3A60EA"/>
    <w:rsid w:val="0DBE5485"/>
    <w:rsid w:val="0FB1ED13"/>
    <w:rsid w:val="15FB8EA7"/>
    <w:rsid w:val="17F90D9B"/>
    <w:rsid w:val="1BF9075A"/>
    <w:rsid w:val="1CED1123"/>
    <w:rsid w:val="1D577EA2"/>
    <w:rsid w:val="1DBDFBC9"/>
    <w:rsid w:val="1FDB8C67"/>
    <w:rsid w:val="2DBFBC40"/>
    <w:rsid w:val="2DFDE716"/>
    <w:rsid w:val="2E7B3A54"/>
    <w:rsid w:val="2F6DEC47"/>
    <w:rsid w:val="2FDF01AE"/>
    <w:rsid w:val="2FF4864B"/>
    <w:rsid w:val="2FFB22A4"/>
    <w:rsid w:val="3208401A"/>
    <w:rsid w:val="33476133"/>
    <w:rsid w:val="33D714C0"/>
    <w:rsid w:val="34BBC352"/>
    <w:rsid w:val="35FD630A"/>
    <w:rsid w:val="369EAFAC"/>
    <w:rsid w:val="37E6ECC8"/>
    <w:rsid w:val="37FFDA62"/>
    <w:rsid w:val="3AFF2EE8"/>
    <w:rsid w:val="3B893F22"/>
    <w:rsid w:val="3BDABEC6"/>
    <w:rsid w:val="3BF54923"/>
    <w:rsid w:val="3BFF17F9"/>
    <w:rsid w:val="3D7F7DD5"/>
    <w:rsid w:val="3DFE6730"/>
    <w:rsid w:val="3DFF1F5B"/>
    <w:rsid w:val="3EAB0813"/>
    <w:rsid w:val="3ECDB389"/>
    <w:rsid w:val="3F7FB17E"/>
    <w:rsid w:val="3F9713AE"/>
    <w:rsid w:val="3FBE452B"/>
    <w:rsid w:val="45B14192"/>
    <w:rsid w:val="45FF8569"/>
    <w:rsid w:val="48E62D93"/>
    <w:rsid w:val="495FD348"/>
    <w:rsid w:val="4AFE2542"/>
    <w:rsid w:val="4B476D29"/>
    <w:rsid w:val="4D064284"/>
    <w:rsid w:val="4D0F397C"/>
    <w:rsid w:val="4DF5448C"/>
    <w:rsid w:val="4E5D3FAD"/>
    <w:rsid w:val="4ED3CC05"/>
    <w:rsid w:val="4EE7823E"/>
    <w:rsid w:val="4F7F0F6C"/>
    <w:rsid w:val="53FDAC02"/>
    <w:rsid w:val="53FFBDEB"/>
    <w:rsid w:val="54BF66A9"/>
    <w:rsid w:val="55FE89AF"/>
    <w:rsid w:val="569BCBE4"/>
    <w:rsid w:val="56F75819"/>
    <w:rsid w:val="573D23C5"/>
    <w:rsid w:val="57ABD0BC"/>
    <w:rsid w:val="588F9D8D"/>
    <w:rsid w:val="5AFEA431"/>
    <w:rsid w:val="5B0F0C9E"/>
    <w:rsid w:val="5BDBA9BF"/>
    <w:rsid w:val="5CA772BC"/>
    <w:rsid w:val="5D3EFB57"/>
    <w:rsid w:val="5DB52F95"/>
    <w:rsid w:val="5DEA2796"/>
    <w:rsid w:val="5E77C89D"/>
    <w:rsid w:val="5EDFBC86"/>
    <w:rsid w:val="5EEE0E0E"/>
    <w:rsid w:val="5EFFF25A"/>
    <w:rsid w:val="5F5B3921"/>
    <w:rsid w:val="5FBD29CB"/>
    <w:rsid w:val="5FBF7A07"/>
    <w:rsid w:val="5FFFB2CA"/>
    <w:rsid w:val="62BB4F6E"/>
    <w:rsid w:val="63EB0F43"/>
    <w:rsid w:val="63F51A12"/>
    <w:rsid w:val="63F92483"/>
    <w:rsid w:val="666F524E"/>
    <w:rsid w:val="67FC9BDC"/>
    <w:rsid w:val="69C253C8"/>
    <w:rsid w:val="69FECB58"/>
    <w:rsid w:val="6A502537"/>
    <w:rsid w:val="6ADF26F4"/>
    <w:rsid w:val="6BF7ACEA"/>
    <w:rsid w:val="6BFE896C"/>
    <w:rsid w:val="6CDF983B"/>
    <w:rsid w:val="6DFC3F6E"/>
    <w:rsid w:val="6EE57227"/>
    <w:rsid w:val="6EEFE970"/>
    <w:rsid w:val="6EFE2D9F"/>
    <w:rsid w:val="6FDF5FD4"/>
    <w:rsid w:val="6FF96D33"/>
    <w:rsid w:val="73BF1F48"/>
    <w:rsid w:val="73FA93CF"/>
    <w:rsid w:val="73FB804A"/>
    <w:rsid w:val="74772C9E"/>
    <w:rsid w:val="75B7F74D"/>
    <w:rsid w:val="76B785F1"/>
    <w:rsid w:val="774E65D4"/>
    <w:rsid w:val="77D970E5"/>
    <w:rsid w:val="77DFF527"/>
    <w:rsid w:val="77FC4B6E"/>
    <w:rsid w:val="77FD1A6A"/>
    <w:rsid w:val="77FF625D"/>
    <w:rsid w:val="7A59E447"/>
    <w:rsid w:val="7A5F28C2"/>
    <w:rsid w:val="7AFF576F"/>
    <w:rsid w:val="7AFFB878"/>
    <w:rsid w:val="7B7708EE"/>
    <w:rsid w:val="7BC6063A"/>
    <w:rsid w:val="7BCFBD38"/>
    <w:rsid w:val="7BF2FDC5"/>
    <w:rsid w:val="7BFC57ED"/>
    <w:rsid w:val="7BFF4374"/>
    <w:rsid w:val="7C96545E"/>
    <w:rsid w:val="7D4F3E3E"/>
    <w:rsid w:val="7D5FEFA5"/>
    <w:rsid w:val="7D6CD867"/>
    <w:rsid w:val="7D764056"/>
    <w:rsid w:val="7D7DBA64"/>
    <w:rsid w:val="7D9FC4D8"/>
    <w:rsid w:val="7DFED623"/>
    <w:rsid w:val="7DFF4180"/>
    <w:rsid w:val="7E583BD5"/>
    <w:rsid w:val="7E7538F9"/>
    <w:rsid w:val="7EB8C56E"/>
    <w:rsid w:val="7EB928EB"/>
    <w:rsid w:val="7EBFF697"/>
    <w:rsid w:val="7EFC0E7B"/>
    <w:rsid w:val="7EFC9B8D"/>
    <w:rsid w:val="7EFE4EAD"/>
    <w:rsid w:val="7EFF7404"/>
    <w:rsid w:val="7EFFC735"/>
    <w:rsid w:val="7F50710A"/>
    <w:rsid w:val="7F6F1D4B"/>
    <w:rsid w:val="7F748D63"/>
    <w:rsid w:val="7F77B9DA"/>
    <w:rsid w:val="7F9F6549"/>
    <w:rsid w:val="7F9FB520"/>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51409"/>
    <w:rsid w:val="BF3BD795"/>
    <w:rsid w:val="BFDF0F8C"/>
    <w:rsid w:val="BFEF4541"/>
    <w:rsid w:val="BFF7D9D8"/>
    <w:rsid w:val="BFFA78D4"/>
    <w:rsid w:val="BFFB5E43"/>
    <w:rsid w:val="BFFC642A"/>
    <w:rsid w:val="BFFFD7F4"/>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BD5FDE"/>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20F84"/>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E1321"/>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2872</Words>
  <Characters>2967</Characters>
  <Lines>0</Lines>
  <Paragraphs>0</Paragraphs>
  <TotalTime>5</TotalTime>
  <ScaleCrop>false</ScaleCrop>
  <LinksUpToDate>false</LinksUpToDate>
  <CharactersWithSpaces>2968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2026-01-23T09:13:15Z</cp:lastPrinted>
  <dcterms:modified xsi:type="dcterms:W3CDTF">2026-01-28T08:19:21Z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B35D36AC452346108FD0998C149FAB5D</vt:lpwstr>
  </property>
  <property fmtid="{D5CDD505-2E9C-101B-9397-08002B2CF9AE}" pid="4" name="KSOTemplateDocerSaveRecord">
    <vt:lpwstr>eyJoZGlkIjoiMTUxNGM2OGQ2NDZjZTdiY2EyMGY2ZDQ4N2NiMjdjYjQiLCJ1c2VySWQiOiI0NDM4NDYzNDIifQ==</vt:lpwstr>
  </property>
</Properties>
</file>