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仿宋_GB2312" w:eastAsia="方正小标宋_GBK" w:cs="仿宋_GB2312"/>
          <w:sz w:val="44"/>
          <w:szCs w:val="44"/>
        </w:rPr>
      </w:pPr>
      <w:bookmarkStart w:id="0" w:name="OLE_LINK4"/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塔城地区生态环境局额敏县分局202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</w:t>
      </w:r>
      <w:bookmarkStart w:id="4" w:name="_GoBack"/>
      <w:bookmarkEnd w:id="4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仿宋_GB2312" w:eastAsia="方正小标宋_GBK" w:cs="仿宋_GB2312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本报告根据《中华人民共和国政府信息公开条例》（国务院令第711号）、《关于印发＜中华人民共和国政府信息公开工作年度报告格式＞的通知》（国办公开办函（2021〕30号）要求编制。报告全文包括总体情况、主动公开政府信息情况、收到和处理政府信息公开申请情况、因政府信息公开工作被申请行政复议和提起行政诉讼情况、政府信息公开工作存在的主要问题及改进情况，以及其他需要报告的事项六个部分。报告统计期限为2025年1月1日至2025年12月31日，如对本报告有疑问，请与塔城地区生态环境局额敏县分局联系（地址：额敏县阿尔夏特路；邮编：834600；电话：0901-7680852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塔城地区生态环境局额敏县分局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通过政府信息公开平台发布相关信息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条，其中,行政处罚处理决定数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（二）依申请公开情况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塔城地区生态环境局额敏县分</w:t>
      </w:r>
      <w:r>
        <w:rPr>
          <w:rFonts w:hint="eastAsia" w:ascii="仿宋_GB2312" w:hAnsi="仿宋_GB2312" w:eastAsia="仿宋_GB2312" w:cs="仿宋_GB2312"/>
          <w:sz w:val="32"/>
          <w:szCs w:val="32"/>
        </w:rPr>
        <w:t>局未收到依申请公开信息。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（三）政府信息管理情况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2025年塔城地区生态环境局额敏县分</w:t>
      </w:r>
      <w:r>
        <w:rPr>
          <w:rFonts w:hint="eastAsia" w:ascii="仿宋_GB2312" w:hAnsi="仿宋_GB2312" w:eastAsia="仿宋_GB2312" w:cs="仿宋_GB2312"/>
          <w:sz w:val="32"/>
          <w:szCs w:val="32"/>
        </w:rPr>
        <w:t>局认真做好生态环境领域信息主动公开工作，严格落实“三审三校”信息发布审核制度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细化程序，压实责任，对拟公开信息进行多层级审核，确保内容准确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（四）公开平台建设情况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塔城地区生态环境局额敏县分</w:t>
      </w:r>
      <w:r>
        <w:rPr>
          <w:rFonts w:hint="eastAsia" w:ascii="仿宋_GB2312" w:hAnsi="仿宋_GB2312" w:eastAsia="仿宋_GB2312" w:cs="仿宋_GB2312"/>
          <w:sz w:val="32"/>
          <w:szCs w:val="32"/>
        </w:rPr>
        <w:t>局政府信息公开平台主要依托于额敏县政府门户网站，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及时公开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生态环境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、行政处罚等重点领域信息及相关政策文件。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（五）监督保障情况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成立政府信息公开工作领导小组，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积极配合上级部门开展的信息公开检查、测评工作，对指出的问题立行立改、整改到位，确保政府信息公开工作规范、有序、高效运行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二、主动公开政府信息情况</w:t>
      </w:r>
    </w:p>
    <w:tbl>
      <w:tblPr>
        <w:tblStyle w:val="6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2"/>
        <w:gridCol w:w="2200"/>
        <w:gridCol w:w="1803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信息内容</w:t>
            </w:r>
          </w:p>
        </w:tc>
        <w:tc>
          <w:tcPr>
            <w:tcW w:w="2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本年制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发件数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本年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废止件数</w:t>
            </w:r>
          </w:p>
        </w:tc>
        <w:tc>
          <w:tcPr>
            <w:tcW w:w="20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规章</w:t>
            </w:r>
          </w:p>
        </w:tc>
        <w:tc>
          <w:tcPr>
            <w:tcW w:w="2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规范性文件</w:t>
            </w:r>
          </w:p>
        </w:tc>
        <w:tc>
          <w:tcPr>
            <w:tcW w:w="2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信息内容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行政许可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信息内容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行政处罚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行政强制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信息内容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行政事业性收费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5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三、收到和处理政府信息公开申请情况</w:t>
      </w:r>
    </w:p>
    <w:tbl>
      <w:tblPr>
        <w:tblStyle w:val="6"/>
        <w:tblW w:w="9055" w:type="dxa"/>
        <w:jc w:val="center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009"/>
        <w:gridCol w:w="2979"/>
        <w:gridCol w:w="491"/>
        <w:gridCol w:w="703"/>
        <w:gridCol w:w="703"/>
        <w:gridCol w:w="703"/>
        <w:gridCol w:w="703"/>
        <w:gridCol w:w="514"/>
        <w:gridCol w:w="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733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322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73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49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自然人</w:t>
            </w:r>
          </w:p>
        </w:tc>
        <w:tc>
          <w:tcPr>
            <w:tcW w:w="3326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法人或其他组织</w:t>
            </w:r>
          </w:p>
        </w:tc>
        <w:tc>
          <w:tcPr>
            <w:tcW w:w="50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73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商业企业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科研机构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社会公益组织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法律服务机构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其他</w:t>
            </w:r>
          </w:p>
        </w:tc>
        <w:tc>
          <w:tcPr>
            <w:tcW w:w="50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73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bookmarkStart w:id="1" w:name="OLE_LINK1" w:colFirst="1" w:colLast="7"/>
            <w:r>
              <w:rPr>
                <w:rFonts w:hint="eastAsia" w:ascii="黑体" w:hAnsi="黑体" w:eastAsia="黑体" w:cs="黑体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73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三、本年度办理结果</w:t>
            </w:r>
          </w:p>
        </w:tc>
        <w:tc>
          <w:tcPr>
            <w:tcW w:w="398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（一）予以公开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8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outline w:val="0"/>
                <w:shadow w:val="0"/>
                <w:emboss w:val="0"/>
                <w:imprint w:val="0"/>
                <w:vanish w:val="0"/>
                <w:spacing w:val="-11"/>
                <w:w w:val="100"/>
                <w:sz w:val="24"/>
                <w:szCs w:val="24"/>
                <w:u w:val="none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outline w:val="0"/>
                <w:shadow w:val="0"/>
                <w:emboss w:val="0"/>
                <w:imprint w:val="0"/>
                <w:vanish w:val="0"/>
                <w:spacing w:val="-11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outline w:val="0"/>
                <w:shadow w:val="0"/>
                <w:emboss w:val="0"/>
                <w:imprint w:val="0"/>
                <w:vanish w:val="0"/>
                <w:spacing w:val="-11"/>
                <w:w w:val="100"/>
                <w:sz w:val="24"/>
                <w:szCs w:val="24"/>
                <w:u w:val="none"/>
              </w:rPr>
              <w:t>不予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outline w:val="0"/>
                <w:shadow w:val="0"/>
                <w:emboss w:val="0"/>
                <w:imprint w:val="0"/>
                <w:vanish w:val="0"/>
                <w:spacing w:val="-11"/>
                <w:w w:val="100"/>
                <w:sz w:val="24"/>
                <w:szCs w:val="24"/>
                <w:u w:val="none"/>
              </w:rPr>
              <w:t>公开</w:t>
            </w: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.属于国家秘密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.其他法律行政法规禁止公开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.危及“三安全一稳定”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.保护第三方合法权益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.属于三类内部事务信息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.属于四类过程性信息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.属于行政执法案卷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.属于行政查询事项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2" w:name="OLE_LINK2" w:colFirst="3" w:colLast="9"/>
          </w:p>
        </w:tc>
        <w:tc>
          <w:tcPr>
            <w:tcW w:w="100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（四）无法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</w:t>
            </w: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.本机关不掌握相关政府信息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.没有现成信息需要另行制作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补正后申请内容仍不明确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（五）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不予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处理</w:t>
            </w: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.信访举报投诉类申请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.重复申请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.要求提供公开出版物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outline w:val="0"/>
                <w:shadow w:val="0"/>
                <w:emboss w:val="0"/>
                <w:imprint w:val="0"/>
                <w:vanish w:val="0"/>
                <w:spacing w:val="-6"/>
                <w:w w:val="100"/>
                <w:sz w:val="24"/>
                <w:szCs w:val="24"/>
                <w:u w:val="none"/>
              </w:rPr>
              <w:t>无正当理由大量反复申请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.要求行政机关确认或重新出具已获取信息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  <w:jc w:val="center"/>
        </w:trPr>
        <w:tc>
          <w:tcPr>
            <w:tcW w:w="745" w:type="dxa"/>
            <w:vMerge w:val="restart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三、本年度办理结果</w:t>
            </w:r>
          </w:p>
        </w:tc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（六）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处理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.申请人无正当理由逾期不补正、行政机关不再处理其政府信息公开申请</w:t>
            </w:r>
          </w:p>
        </w:tc>
        <w:tc>
          <w:tcPr>
            <w:tcW w:w="49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  <w:jc w:val="center"/>
        </w:trPr>
        <w:tc>
          <w:tcPr>
            <w:tcW w:w="745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.申请人逾期未按收费通知要求缴纳费用、行政机关不再处理其政府信息公开申请</w:t>
            </w:r>
          </w:p>
        </w:tc>
        <w:tc>
          <w:tcPr>
            <w:tcW w:w="49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.其他</w:t>
            </w:r>
          </w:p>
        </w:tc>
        <w:tc>
          <w:tcPr>
            <w:tcW w:w="49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88" w:type="dxa"/>
            <w:gridSpan w:val="2"/>
            <w:tcBorders>
              <w:top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（七）总计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3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四、结转下年度继续办理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36" w:firstLineChars="199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四、政府信息公开行政复议、行政诉讼情况</w:t>
      </w:r>
    </w:p>
    <w:tbl>
      <w:tblPr>
        <w:tblStyle w:val="6"/>
        <w:tblW w:w="9058" w:type="dxa"/>
        <w:jc w:val="center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525"/>
        <w:gridCol w:w="542"/>
        <w:gridCol w:w="525"/>
        <w:gridCol w:w="598"/>
        <w:gridCol w:w="607"/>
        <w:gridCol w:w="558"/>
        <w:gridCol w:w="687"/>
        <w:gridCol w:w="591"/>
        <w:gridCol w:w="721"/>
        <w:gridCol w:w="687"/>
        <w:gridCol w:w="638"/>
        <w:gridCol w:w="638"/>
        <w:gridCol w:w="638"/>
        <w:gridCol w:w="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722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行政复议</w:t>
            </w:r>
          </w:p>
        </w:tc>
        <w:tc>
          <w:tcPr>
            <w:tcW w:w="6336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52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54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52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598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计</w:t>
            </w:r>
          </w:p>
        </w:tc>
        <w:tc>
          <w:tcPr>
            <w:tcW w:w="3164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未经复议直接起诉</w:t>
            </w:r>
          </w:p>
        </w:tc>
        <w:tc>
          <w:tcPr>
            <w:tcW w:w="3172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532" w:type="dxa"/>
            <w:vMerge w:val="continue"/>
            <w:tcBorders>
              <w:top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</w:p>
        </w:tc>
        <w:tc>
          <w:tcPr>
            <w:tcW w:w="52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</w:p>
        </w:tc>
        <w:tc>
          <w:tcPr>
            <w:tcW w:w="54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</w:p>
        </w:tc>
        <w:tc>
          <w:tcPr>
            <w:tcW w:w="52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</w:p>
        </w:tc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</w:p>
        </w:tc>
        <w:tc>
          <w:tcPr>
            <w:tcW w:w="6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5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5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7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总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计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 xml:space="preserve">   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53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bookmarkStart w:id="3" w:name="OLE_LINK3"/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  <w:bookmarkEnd w:id="3"/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4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7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</w:tr>
    </w:tbl>
    <w:p>
      <w:pPr>
        <w:spacing w:line="560" w:lineRule="exact"/>
        <w:ind w:firstLine="636" w:firstLineChars="199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五、存在的主要问题及改进情况</w:t>
      </w:r>
    </w:p>
    <w:p>
      <w:pPr>
        <w:pStyle w:val="5"/>
        <w:widowControl/>
        <w:spacing w:before="0" w:beforeAutospacing="0" w:after="0" w:afterAutospacing="0" w:line="560" w:lineRule="exact"/>
        <w:ind w:firstLine="645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  <w:t>（一）存在的问题。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部分工作人员对政府信息公开工作的重要性认识不足，对应当主动公开的工作，不上心不重视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5"/>
        <w:widowControl/>
        <w:shd w:val="clear" w:color="auto" w:fill="FFFFFF"/>
        <w:spacing w:before="15" w:beforeAutospacing="0" w:after="0" w:afterAutospacing="0" w:line="420" w:lineRule="atLeas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（二）改进措施。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组织工作人员认真学习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《中华人民共和国政府信息公开条例》，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开展信息公开流程、政策解读等专题培训，提升业务能力。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强化考核督导。将政府信息公开工作纳入各科室年度绩效考核，定期开展专项检查。</w:t>
      </w:r>
    </w:p>
    <w:p>
      <w:pPr>
        <w:spacing w:line="560" w:lineRule="exact"/>
        <w:ind w:firstLine="636" w:firstLineChars="199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六、其他需要报告的事项</w:t>
      </w:r>
    </w:p>
    <w:p>
      <w:pPr>
        <w:spacing w:line="560" w:lineRule="exact"/>
        <w:ind w:firstLine="636" w:firstLineChars="199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塔城地区生态环境局额敏县分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按照《国务院办公厅关于印发&lt;政府信息公开信息处理费管理办法&gt;的通知》（国办函〔2020〕109号）规定的按件、按量收费标准，本年度未产生信息公开处理费。</w:t>
      </w:r>
    </w:p>
    <w:p>
      <w:pPr>
        <w:ind w:firstLine="3520" w:firstLineChars="1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塔城地区生态环境局额敏县分局</w:t>
      </w:r>
    </w:p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（额敏县生态环境保护综合行政执法大队）</w:t>
      </w:r>
    </w:p>
    <w:p>
      <w:pPr>
        <w:ind w:firstLine="64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2026年1月28日</w:t>
      </w:r>
      <w:bookmarkEnd w:id="0"/>
    </w:p>
    <w:sectPr>
      <w:footerReference r:id="rId3" w:type="default"/>
      <w:pgSz w:w="11906" w:h="16838"/>
      <w:pgMar w:top="1984" w:right="1531" w:bottom="1701" w:left="1531" w:header="851" w:footer="1417" w:gutter="0"/>
      <w:pgNumType w:fmt="decimal" w:start="4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DRn+vp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16BC5"/>
    <w:multiLevelType w:val="singleLevel"/>
    <w:tmpl w:val="47316BC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A679B"/>
    <w:rsid w:val="05B154CD"/>
    <w:rsid w:val="0DBE5485"/>
    <w:rsid w:val="0FB1ED13"/>
    <w:rsid w:val="15FB8EA7"/>
    <w:rsid w:val="17F90D9B"/>
    <w:rsid w:val="1A501A8E"/>
    <w:rsid w:val="1BF9075A"/>
    <w:rsid w:val="1D577EA2"/>
    <w:rsid w:val="1DBDFBC9"/>
    <w:rsid w:val="1FDB8C67"/>
    <w:rsid w:val="21F63D70"/>
    <w:rsid w:val="22143B25"/>
    <w:rsid w:val="22B556E2"/>
    <w:rsid w:val="25AA2407"/>
    <w:rsid w:val="287E2D0A"/>
    <w:rsid w:val="2DBFBC40"/>
    <w:rsid w:val="2DFDE716"/>
    <w:rsid w:val="2E5112FA"/>
    <w:rsid w:val="2E7B3A54"/>
    <w:rsid w:val="2F6DEC47"/>
    <w:rsid w:val="2FDF01AE"/>
    <w:rsid w:val="2FF4864B"/>
    <w:rsid w:val="2FFB22A4"/>
    <w:rsid w:val="33476133"/>
    <w:rsid w:val="33D714C0"/>
    <w:rsid w:val="34BBC352"/>
    <w:rsid w:val="35FD630A"/>
    <w:rsid w:val="369EAFAC"/>
    <w:rsid w:val="37E6ECC8"/>
    <w:rsid w:val="37FFDA62"/>
    <w:rsid w:val="39AC7127"/>
    <w:rsid w:val="3AFF2EE8"/>
    <w:rsid w:val="3BCB7EF5"/>
    <w:rsid w:val="3BDABEC6"/>
    <w:rsid w:val="3BF54923"/>
    <w:rsid w:val="3BFF17F9"/>
    <w:rsid w:val="3D7F7DD5"/>
    <w:rsid w:val="3DFE6730"/>
    <w:rsid w:val="3DFF1F5B"/>
    <w:rsid w:val="3EAB0813"/>
    <w:rsid w:val="3EBF0C55"/>
    <w:rsid w:val="3EBF0E08"/>
    <w:rsid w:val="3ECDB389"/>
    <w:rsid w:val="3F10037B"/>
    <w:rsid w:val="3F9713AE"/>
    <w:rsid w:val="3FBE452B"/>
    <w:rsid w:val="41F4235D"/>
    <w:rsid w:val="42480DB1"/>
    <w:rsid w:val="43EC5910"/>
    <w:rsid w:val="44C1387E"/>
    <w:rsid w:val="45B310A9"/>
    <w:rsid w:val="45FF8569"/>
    <w:rsid w:val="495FD348"/>
    <w:rsid w:val="4A1B72E0"/>
    <w:rsid w:val="4AFE2542"/>
    <w:rsid w:val="4B476D29"/>
    <w:rsid w:val="4BA048CD"/>
    <w:rsid w:val="4DF5448C"/>
    <w:rsid w:val="4E5D3FAD"/>
    <w:rsid w:val="4ED3CC05"/>
    <w:rsid w:val="4EE7823E"/>
    <w:rsid w:val="4F7F0F6C"/>
    <w:rsid w:val="51FD3905"/>
    <w:rsid w:val="539B1AF1"/>
    <w:rsid w:val="53FDAC02"/>
    <w:rsid w:val="53FFBDEB"/>
    <w:rsid w:val="548D3CC8"/>
    <w:rsid w:val="54BF66A9"/>
    <w:rsid w:val="55FE89AF"/>
    <w:rsid w:val="569BCBE4"/>
    <w:rsid w:val="56F75819"/>
    <w:rsid w:val="573D23C5"/>
    <w:rsid w:val="57ABD0BC"/>
    <w:rsid w:val="588F9D8D"/>
    <w:rsid w:val="5AFEA431"/>
    <w:rsid w:val="5B0F0C9E"/>
    <w:rsid w:val="5BDBA9BF"/>
    <w:rsid w:val="5BE20B9D"/>
    <w:rsid w:val="5CA772BC"/>
    <w:rsid w:val="5D3EFB57"/>
    <w:rsid w:val="5DB52F95"/>
    <w:rsid w:val="5DEA2796"/>
    <w:rsid w:val="5E77C89D"/>
    <w:rsid w:val="5EDFBC86"/>
    <w:rsid w:val="5EEE0E0E"/>
    <w:rsid w:val="5EFFF25A"/>
    <w:rsid w:val="5F5B3921"/>
    <w:rsid w:val="5FBD29CB"/>
    <w:rsid w:val="5FBF7A07"/>
    <w:rsid w:val="5FDF7E09"/>
    <w:rsid w:val="5FFFB2CA"/>
    <w:rsid w:val="60273DAA"/>
    <w:rsid w:val="617F1C49"/>
    <w:rsid w:val="619505F7"/>
    <w:rsid w:val="63EB0F43"/>
    <w:rsid w:val="63F51A12"/>
    <w:rsid w:val="663669DF"/>
    <w:rsid w:val="666F524E"/>
    <w:rsid w:val="66C329FD"/>
    <w:rsid w:val="67FC9BDC"/>
    <w:rsid w:val="69C253C8"/>
    <w:rsid w:val="69FECB58"/>
    <w:rsid w:val="6A2E1B45"/>
    <w:rsid w:val="6A502537"/>
    <w:rsid w:val="6A9724F2"/>
    <w:rsid w:val="6ADF26F4"/>
    <w:rsid w:val="6BF7ACEA"/>
    <w:rsid w:val="6BFE896C"/>
    <w:rsid w:val="6EE57227"/>
    <w:rsid w:val="6EE678B8"/>
    <w:rsid w:val="6EEFE970"/>
    <w:rsid w:val="6EFE2D9F"/>
    <w:rsid w:val="6FDF5FD4"/>
    <w:rsid w:val="6FF96D33"/>
    <w:rsid w:val="709B0170"/>
    <w:rsid w:val="715D3A3E"/>
    <w:rsid w:val="723461C4"/>
    <w:rsid w:val="73343C13"/>
    <w:rsid w:val="739B24CE"/>
    <w:rsid w:val="73BF1F48"/>
    <w:rsid w:val="73FA93CF"/>
    <w:rsid w:val="73FB804A"/>
    <w:rsid w:val="74315102"/>
    <w:rsid w:val="74772C9E"/>
    <w:rsid w:val="7558021A"/>
    <w:rsid w:val="75B7F74D"/>
    <w:rsid w:val="76B785F1"/>
    <w:rsid w:val="774E65D4"/>
    <w:rsid w:val="77BA2C0F"/>
    <w:rsid w:val="77D970E5"/>
    <w:rsid w:val="77DFF527"/>
    <w:rsid w:val="77FC4B6E"/>
    <w:rsid w:val="77FD1A6A"/>
    <w:rsid w:val="77FF625D"/>
    <w:rsid w:val="78177417"/>
    <w:rsid w:val="7890682D"/>
    <w:rsid w:val="7A5F28C2"/>
    <w:rsid w:val="7AFF576F"/>
    <w:rsid w:val="7AFFB878"/>
    <w:rsid w:val="7B7708EE"/>
    <w:rsid w:val="7BC6063A"/>
    <w:rsid w:val="7BCFBD38"/>
    <w:rsid w:val="7BF2FDC5"/>
    <w:rsid w:val="7BFC57ED"/>
    <w:rsid w:val="7BFF4374"/>
    <w:rsid w:val="7C96545E"/>
    <w:rsid w:val="7D4F3E3E"/>
    <w:rsid w:val="7D5FEFA5"/>
    <w:rsid w:val="7D6CD867"/>
    <w:rsid w:val="7D764056"/>
    <w:rsid w:val="7D7DBA64"/>
    <w:rsid w:val="7D9FC4D8"/>
    <w:rsid w:val="7DF33402"/>
    <w:rsid w:val="7DFED623"/>
    <w:rsid w:val="7DFF4180"/>
    <w:rsid w:val="7E7538F9"/>
    <w:rsid w:val="7EB8C56E"/>
    <w:rsid w:val="7EB928EB"/>
    <w:rsid w:val="7EBFF697"/>
    <w:rsid w:val="7ED8579B"/>
    <w:rsid w:val="7EFC0E7B"/>
    <w:rsid w:val="7EFC9B8D"/>
    <w:rsid w:val="7EFE4EAD"/>
    <w:rsid w:val="7EFF7404"/>
    <w:rsid w:val="7EFFC735"/>
    <w:rsid w:val="7F50710A"/>
    <w:rsid w:val="7F6F1D4B"/>
    <w:rsid w:val="7F748D63"/>
    <w:rsid w:val="7F77B9DA"/>
    <w:rsid w:val="7F9F6549"/>
    <w:rsid w:val="7FAF5D99"/>
    <w:rsid w:val="7FB47235"/>
    <w:rsid w:val="7FBEEAAC"/>
    <w:rsid w:val="7FBFA13F"/>
    <w:rsid w:val="7FCBBEBA"/>
    <w:rsid w:val="7FEEAFD2"/>
    <w:rsid w:val="7FEF8F94"/>
    <w:rsid w:val="7FEFDD07"/>
    <w:rsid w:val="7FF07130"/>
    <w:rsid w:val="7FF99BD5"/>
    <w:rsid w:val="7FF9F85E"/>
    <w:rsid w:val="7FFB59C1"/>
    <w:rsid w:val="7FFE0B86"/>
    <w:rsid w:val="7FFF7799"/>
    <w:rsid w:val="7FFF8484"/>
    <w:rsid w:val="7FFFEEE5"/>
    <w:rsid w:val="8BFEFC87"/>
    <w:rsid w:val="90FBB6AE"/>
    <w:rsid w:val="92DDA34E"/>
    <w:rsid w:val="93FCA4F3"/>
    <w:rsid w:val="96FD0614"/>
    <w:rsid w:val="9BFF7797"/>
    <w:rsid w:val="9E4E6617"/>
    <w:rsid w:val="9EC78753"/>
    <w:rsid w:val="9FAAAD1E"/>
    <w:rsid w:val="9FAD36FF"/>
    <w:rsid w:val="9FBFF697"/>
    <w:rsid w:val="9FFA9AFD"/>
    <w:rsid w:val="9FFB8AD4"/>
    <w:rsid w:val="A7F51AF6"/>
    <w:rsid w:val="A7FEB3B1"/>
    <w:rsid w:val="AAFF459F"/>
    <w:rsid w:val="ABEE8AF0"/>
    <w:rsid w:val="ADDE413E"/>
    <w:rsid w:val="ADFF1E01"/>
    <w:rsid w:val="B8DCC92C"/>
    <w:rsid w:val="BAB13A0D"/>
    <w:rsid w:val="BBD77E1F"/>
    <w:rsid w:val="BBEFE269"/>
    <w:rsid w:val="BBFBA881"/>
    <w:rsid w:val="BCF75867"/>
    <w:rsid w:val="BCFF9D6E"/>
    <w:rsid w:val="BD1BC2C7"/>
    <w:rsid w:val="BD7690B0"/>
    <w:rsid w:val="BDBFA14F"/>
    <w:rsid w:val="BDEEC5E1"/>
    <w:rsid w:val="BEF34AD8"/>
    <w:rsid w:val="BEF3D2E6"/>
    <w:rsid w:val="BEFFB7D0"/>
    <w:rsid w:val="BF22C904"/>
    <w:rsid w:val="BF3BD795"/>
    <w:rsid w:val="BFDF0F8C"/>
    <w:rsid w:val="BFEF4541"/>
    <w:rsid w:val="BFF7D9D8"/>
    <w:rsid w:val="BFFA78D4"/>
    <w:rsid w:val="BFFC642A"/>
    <w:rsid w:val="C67B7F41"/>
    <w:rsid w:val="C6FF2F6B"/>
    <w:rsid w:val="CB340FF9"/>
    <w:rsid w:val="CBFFFECB"/>
    <w:rsid w:val="CF5F3C76"/>
    <w:rsid w:val="CFC37AE3"/>
    <w:rsid w:val="CFCF4378"/>
    <w:rsid w:val="CFEF33B0"/>
    <w:rsid w:val="CFF65123"/>
    <w:rsid w:val="CFF8DECE"/>
    <w:rsid w:val="D73AD7DC"/>
    <w:rsid w:val="DAF7B794"/>
    <w:rsid w:val="DCFFC7DA"/>
    <w:rsid w:val="DD27EE3C"/>
    <w:rsid w:val="DDBA4366"/>
    <w:rsid w:val="DDFBF5DC"/>
    <w:rsid w:val="DE11FC53"/>
    <w:rsid w:val="DE6F9D4D"/>
    <w:rsid w:val="DE7D17E3"/>
    <w:rsid w:val="DE7FE1BC"/>
    <w:rsid w:val="DEBF8F76"/>
    <w:rsid w:val="DF7ED54A"/>
    <w:rsid w:val="DF97DC17"/>
    <w:rsid w:val="DFBDD0B0"/>
    <w:rsid w:val="DFC35436"/>
    <w:rsid w:val="DFCBD6AE"/>
    <w:rsid w:val="DFD7763D"/>
    <w:rsid w:val="DFD96B7E"/>
    <w:rsid w:val="DFEDC74E"/>
    <w:rsid w:val="DFF55861"/>
    <w:rsid w:val="DFF69220"/>
    <w:rsid w:val="DFF6FC90"/>
    <w:rsid w:val="DFFE273C"/>
    <w:rsid w:val="DFFF4100"/>
    <w:rsid w:val="E3379851"/>
    <w:rsid w:val="E3BDB839"/>
    <w:rsid w:val="E4FFDC32"/>
    <w:rsid w:val="E53B485A"/>
    <w:rsid w:val="E5B7C707"/>
    <w:rsid w:val="E657A35C"/>
    <w:rsid w:val="E65DCF39"/>
    <w:rsid w:val="E7B66ED8"/>
    <w:rsid w:val="E7FBEB55"/>
    <w:rsid w:val="E9FEA61A"/>
    <w:rsid w:val="EB76D68E"/>
    <w:rsid w:val="EBB9FF58"/>
    <w:rsid w:val="EBF6182D"/>
    <w:rsid w:val="EBFFD9A2"/>
    <w:rsid w:val="EC6DDFA3"/>
    <w:rsid w:val="ECF73D77"/>
    <w:rsid w:val="EDFE06ED"/>
    <w:rsid w:val="EDFE3535"/>
    <w:rsid w:val="EDFFB8CE"/>
    <w:rsid w:val="EE7BDC30"/>
    <w:rsid w:val="EEE94709"/>
    <w:rsid w:val="EF5BEFA1"/>
    <w:rsid w:val="EFF11AC6"/>
    <w:rsid w:val="F0D74422"/>
    <w:rsid w:val="F1FF93C6"/>
    <w:rsid w:val="F2F7A314"/>
    <w:rsid w:val="F33F86FA"/>
    <w:rsid w:val="F3EF72B4"/>
    <w:rsid w:val="F3F7F6FB"/>
    <w:rsid w:val="F551BBA4"/>
    <w:rsid w:val="F55F552F"/>
    <w:rsid w:val="F56FE98B"/>
    <w:rsid w:val="F5F7AECF"/>
    <w:rsid w:val="F5FB699F"/>
    <w:rsid w:val="F67B4ABB"/>
    <w:rsid w:val="F6FD0327"/>
    <w:rsid w:val="F73FD98A"/>
    <w:rsid w:val="F785B677"/>
    <w:rsid w:val="F79BFADD"/>
    <w:rsid w:val="F7ADB44B"/>
    <w:rsid w:val="F7BB17D9"/>
    <w:rsid w:val="F7E773A7"/>
    <w:rsid w:val="F7F3D891"/>
    <w:rsid w:val="F7FD181E"/>
    <w:rsid w:val="F7FF56AE"/>
    <w:rsid w:val="F7FFBA43"/>
    <w:rsid w:val="F8E0F921"/>
    <w:rsid w:val="F8F0B3C6"/>
    <w:rsid w:val="F92C20D0"/>
    <w:rsid w:val="F9739605"/>
    <w:rsid w:val="F9BD7614"/>
    <w:rsid w:val="F9EBAEDB"/>
    <w:rsid w:val="FABF459C"/>
    <w:rsid w:val="FB317F09"/>
    <w:rsid w:val="FB753F9B"/>
    <w:rsid w:val="FBE7BA79"/>
    <w:rsid w:val="FBFB0BCD"/>
    <w:rsid w:val="FBFBF127"/>
    <w:rsid w:val="FBFE39B7"/>
    <w:rsid w:val="FCF183EF"/>
    <w:rsid w:val="FCF7EE51"/>
    <w:rsid w:val="FD7E4A48"/>
    <w:rsid w:val="FD9AA252"/>
    <w:rsid w:val="FDDD7FF3"/>
    <w:rsid w:val="FDDE23EF"/>
    <w:rsid w:val="FDE67FF7"/>
    <w:rsid w:val="FDF7108F"/>
    <w:rsid w:val="FDF74333"/>
    <w:rsid w:val="FDFD28B8"/>
    <w:rsid w:val="FEDF64A3"/>
    <w:rsid w:val="FEEFA244"/>
    <w:rsid w:val="FF07AA46"/>
    <w:rsid w:val="FF1FB1C8"/>
    <w:rsid w:val="FF2EF43B"/>
    <w:rsid w:val="FF3DCC43"/>
    <w:rsid w:val="FF6D16D2"/>
    <w:rsid w:val="FF720985"/>
    <w:rsid w:val="FF7A362E"/>
    <w:rsid w:val="FFAB512A"/>
    <w:rsid w:val="FFAD8402"/>
    <w:rsid w:val="FFAEAFBB"/>
    <w:rsid w:val="FFAF1D94"/>
    <w:rsid w:val="FFB5A8F6"/>
    <w:rsid w:val="FFB6D1BE"/>
    <w:rsid w:val="FFBDBCE1"/>
    <w:rsid w:val="FFCFD87C"/>
    <w:rsid w:val="FFD53D7A"/>
    <w:rsid w:val="FFD5CBD3"/>
    <w:rsid w:val="FFDCB75F"/>
    <w:rsid w:val="FFDFEDDF"/>
    <w:rsid w:val="FFEBA0D9"/>
    <w:rsid w:val="FFEFDF93"/>
    <w:rsid w:val="FFF68358"/>
    <w:rsid w:val="FFFC32AE"/>
    <w:rsid w:val="FFFF5553"/>
    <w:rsid w:val="FFFFB4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Administrator</cp:lastModifiedBy>
  <cp:lastPrinted>2026-01-28T09:19:00Z</cp:lastPrinted>
  <dcterms:modified xsi:type="dcterms:W3CDTF">2026-02-02T03:32:18Z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B35D36AC452346108FD0998C149FAB5D</vt:lpwstr>
  </property>
</Properties>
</file>