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_GB2312" w:eastAsia="方正小标宋_GBK"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额敏县额玛勒郭楞蒙古民族乡人民</w:t>
      </w: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sz w:val="32"/>
          <w:szCs w:val="32"/>
          <w:lang w:eastAsia="zh-CN"/>
        </w:rPr>
      </w:pPr>
      <w:r>
        <w:rPr>
          <w:rFonts w:hint="default" w:ascii="Times New Roman" w:hAnsi="Times New Roman" w:eastAsia="仿宋_GB2312" w:cs="Times New Roman"/>
          <w:sz w:val="32"/>
          <w:szCs w:val="32"/>
          <w:lang w:val="en-US" w:eastAsia="zh-CN"/>
        </w:rPr>
        <w:t>本报告根据《中华人民共和国政府信息公开条例》（国务院令第711号）、《关于印发&lt;中华人民共和国政府信息公开工作年度报告格式&gt;的通知》（国办公开办函〔2021〕30号）、地区《关于做好2024年政府信息公开工作年度报告编制发布工作的通知》要求编制。</w:t>
      </w:r>
      <w:r>
        <w:rPr>
          <w:rFonts w:hint="eastAsia" w:ascii="仿宋_GB2312" w:hAnsi="宋体" w:eastAsia="仿宋_GB2312" w:cs="宋体"/>
          <w:color w:val="auto"/>
          <w:sz w:val="32"/>
          <w:szCs w:val="32"/>
          <w:lang w:eastAsia="zh-CN"/>
        </w:rPr>
        <w:t>报告全文包括总体情况、主动公开政府信息情况、收到和处理政府信息公开申请情况、因政府信息公开工作被申请行政复议和提起行政诉讼情况、政府信息公开工作存在的主要问题及改进情况,以及其他需要报告的事项六个部分。报告统计期限为202</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lang w:eastAsia="zh-CN"/>
        </w:rPr>
        <w:t>年1月1日至202</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lang w:eastAsia="zh-CN"/>
        </w:rPr>
        <w:t>年12月31日。如对本报告有疑问，请与</w:t>
      </w:r>
      <w:r>
        <w:rPr>
          <w:rFonts w:hint="eastAsia" w:ascii="仿宋_GB2312" w:hAnsi="宋体" w:eastAsia="仿宋_GB2312" w:cs="宋体"/>
          <w:color w:val="auto"/>
          <w:sz w:val="32"/>
          <w:szCs w:val="32"/>
          <w:lang w:val="en-US" w:eastAsia="zh-CN"/>
        </w:rPr>
        <w:t>额敏县额玛勒郭楞蒙古民族乡人民</w:t>
      </w:r>
      <w:r>
        <w:rPr>
          <w:rFonts w:hint="eastAsia" w:ascii="仿宋_GB2312" w:hAnsi="宋体" w:eastAsia="仿宋_GB2312" w:cs="宋体"/>
          <w:color w:val="auto"/>
          <w:sz w:val="32"/>
          <w:szCs w:val="32"/>
          <w:lang w:eastAsia="zh-CN"/>
        </w:rPr>
        <w:t>政府联系(地址:</w:t>
      </w:r>
      <w:r>
        <w:rPr>
          <w:rFonts w:hint="eastAsia" w:ascii="仿宋_GB2312" w:hAnsi="宋体" w:eastAsia="仿宋_GB2312" w:cs="宋体"/>
          <w:color w:val="auto"/>
          <w:sz w:val="32"/>
          <w:szCs w:val="32"/>
          <w:lang w:val="en-US" w:eastAsia="zh-CN"/>
        </w:rPr>
        <w:t>额敏县额玛勒郭楞蒙古民族乡，</w:t>
      </w:r>
      <w:r>
        <w:rPr>
          <w:rFonts w:hint="eastAsia" w:ascii="仿宋_GB2312" w:hAnsi="宋体" w:eastAsia="仿宋_GB2312" w:cs="宋体"/>
          <w:color w:val="auto"/>
          <w:sz w:val="32"/>
          <w:szCs w:val="32"/>
          <w:lang w:eastAsia="zh-CN"/>
        </w:rPr>
        <w:t>邮编834600，</w:t>
      </w:r>
      <w:r>
        <w:rPr>
          <w:rFonts w:hint="eastAsia" w:ascii="仿宋_GB2312" w:hAnsi="宋体" w:eastAsia="仿宋_GB2312" w:cs="宋体"/>
          <w:color w:val="auto"/>
          <w:sz w:val="32"/>
          <w:szCs w:val="32"/>
          <w:lang w:val="en-US" w:eastAsia="zh-CN"/>
        </w:rPr>
        <w:t>电话：</w:t>
      </w:r>
      <w:r>
        <w:rPr>
          <w:rFonts w:hint="eastAsia" w:ascii="仿宋_GB2312" w:hAnsi="仿宋_GB2312" w:eastAsia="仿宋_GB2312" w:cs="仿宋_GB2312"/>
          <w:sz w:val="32"/>
          <w:szCs w:val="32"/>
          <w:lang w:val="en-US" w:eastAsia="zh-CN"/>
        </w:rPr>
        <w:t>0901-3988039</w:t>
      </w:r>
      <w:r>
        <w:rPr>
          <w:rFonts w:hint="eastAsia" w:ascii="仿宋_GB2312" w:hAnsi="宋体" w:eastAsia="仿宋_GB2312"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额敏县额玛勒郭楞蒙古民族乡</w:t>
      </w:r>
      <w:r>
        <w:rPr>
          <w:rFonts w:hint="eastAsia" w:ascii="仿宋_GB2312" w:hAnsi="仿宋_GB2312" w:eastAsia="仿宋_GB2312" w:cs="仿宋_GB2312"/>
          <w:sz w:val="32"/>
          <w:szCs w:val="32"/>
        </w:rPr>
        <w:t>全面贯彻落实党的二十大和二十届二中全会精神，严格落实《中华人民共和国政府信息公开条例》相关要求，贯彻落实党中央、国务院、自治区和地区关于推进政府信息公开决策部署。及时提供政策解读，拓展公开渠道丰富公开内容，推动政府信息公开工作规范化、制度化，全面提升政府信息公开质量和实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highlight w:val="none"/>
        </w:rPr>
        <w:t>主动公开。</w:t>
      </w:r>
      <w:r>
        <w:rPr>
          <w:rFonts w:hint="eastAsia" w:ascii="仿宋_GB2312" w:hAnsi="仿宋_GB2312" w:eastAsia="仿宋_GB2312" w:cs="仿宋_GB2312"/>
          <w:sz w:val="32"/>
          <w:szCs w:val="32"/>
          <w:highlight w:val="none"/>
          <w:lang w:eastAsia="zh-CN"/>
        </w:rPr>
        <w:t>2024年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额敏县</w:t>
      </w:r>
      <w:r>
        <w:rPr>
          <w:rFonts w:hint="eastAsia" w:ascii="仿宋_GB2312" w:hAnsi="仿宋_GB2312" w:eastAsia="仿宋_GB2312" w:cs="仿宋_GB2312"/>
          <w:sz w:val="32"/>
          <w:szCs w:val="32"/>
          <w:lang w:eastAsia="zh-CN"/>
        </w:rPr>
        <w:t>额玛勒郭楞蒙古民族乡</w:t>
      </w:r>
      <w:r>
        <w:rPr>
          <w:rFonts w:hint="eastAsia" w:ascii="仿宋_GB2312" w:hAnsi="仿宋_GB2312" w:eastAsia="仿宋_GB2312" w:cs="仿宋_GB2312"/>
          <w:sz w:val="32"/>
          <w:szCs w:val="32"/>
          <w:highlight w:val="none"/>
        </w:rPr>
        <w:t>坚持以“公开为常态、不公开为例外”的原则，</w:t>
      </w:r>
      <w:r>
        <w:rPr>
          <w:rFonts w:hint="eastAsia" w:ascii="仿宋_GB2312" w:hAnsi="仿宋_GB2312" w:eastAsia="仿宋_GB2312" w:cs="仿宋_GB2312"/>
          <w:sz w:val="32"/>
          <w:szCs w:val="32"/>
          <w:highlight w:val="none"/>
          <w:lang w:eastAsia="zh-CN"/>
        </w:rPr>
        <w:t>积极在乡公示栏公示政府信息，方便群众进行查看。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(二)依申请公开情况。</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未收到依申请公开及政府信息公开方面的行政复议和行政诉讼备案，未收到信息公开举报投诉案件。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bookmarkStart w:id="0" w:name="OLE_LINK1"/>
      <w:r>
        <w:rPr>
          <w:rFonts w:hint="eastAsia" w:ascii="仿宋_GB2312" w:hAnsi="仿宋_GB2312" w:eastAsia="仿宋_GB2312" w:cs="仿宋_GB2312"/>
          <w:b/>
          <w:bCs/>
          <w:sz w:val="32"/>
          <w:szCs w:val="32"/>
        </w:rPr>
        <w:t>政府信息管理情况</w:t>
      </w:r>
      <w:bookmarkEnd w:id="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健全完善信息公开保密审查制度</w:t>
      </w:r>
      <w:bookmarkStart w:id="4" w:name="_GoBack"/>
      <w:bookmarkEnd w:id="4"/>
      <w:r>
        <w:rPr>
          <w:rFonts w:hint="eastAsia" w:ascii="仿宋_GB2312" w:hAnsi="仿宋_GB2312" w:eastAsia="仿宋_GB2312" w:cs="仿宋_GB2312"/>
          <w:sz w:val="32"/>
          <w:szCs w:val="32"/>
        </w:rPr>
        <w:t>。按照“谁发布、谁审核、谁负责”的原则，建立多层级信息发布审核制度，提升信息发布规范性和及时性，严格执行“三审三校”信息发布制度，对发布信息先审核后发布，对重点稿件反复核校确保公开信息依法、及时、全面、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bookmarkStart w:id="1" w:name="OLE_LINK2"/>
      <w:r>
        <w:rPr>
          <w:rFonts w:hint="eastAsia" w:ascii="仿宋_GB2312" w:hAnsi="仿宋_GB2312" w:eastAsia="仿宋_GB2312" w:cs="仿宋_GB2312"/>
          <w:b/>
          <w:bCs/>
          <w:sz w:val="32"/>
          <w:szCs w:val="32"/>
        </w:rPr>
        <w:t>平台建设情况</w:t>
      </w:r>
      <w:bookmarkEnd w:id="1"/>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额玛勒郭楞蒙古民族乡</w:t>
      </w:r>
      <w:r>
        <w:rPr>
          <w:rFonts w:hint="eastAsia" w:ascii="仿宋_GB2312" w:hAnsi="仿宋_GB2312" w:eastAsia="仿宋_GB2312" w:cs="仿宋_GB2312"/>
          <w:b w:val="0"/>
          <w:bCs w:val="0"/>
          <w:sz w:val="32"/>
          <w:szCs w:val="32"/>
          <w:lang w:val="en-US" w:eastAsia="zh-CN"/>
        </w:rPr>
        <w:t>充分</w:t>
      </w:r>
      <w:r>
        <w:rPr>
          <w:rFonts w:hint="eastAsia" w:ascii="仿宋_GB2312" w:hAnsi="仿宋_GB2312" w:eastAsia="仿宋_GB2312" w:cs="仿宋_GB2312"/>
          <w:b w:val="0"/>
          <w:bCs w:val="0"/>
          <w:sz w:val="32"/>
          <w:szCs w:val="32"/>
        </w:rPr>
        <w:t>利用微信公众号等政务新媒体平台发布信息，以扩大信息传播范围，提高公众关注度。这些平台具有便捷性和即时性的特点，能让公众及时获取乡政府的最新消息，如政策解读、活动通知等。</w:t>
      </w:r>
      <w:r>
        <w:rPr>
          <w:rFonts w:hint="eastAsia" w:ascii="仿宋_GB2312" w:hAnsi="仿宋_GB2312" w:eastAsia="仿宋_GB2312" w:cs="仿宋_GB2312"/>
          <w:b w:val="0"/>
          <w:bCs w:val="0"/>
          <w:sz w:val="32"/>
          <w:szCs w:val="32"/>
          <w:lang w:eastAsia="zh-CN"/>
        </w:rPr>
        <w:t>同时</w:t>
      </w:r>
      <w:r>
        <w:rPr>
          <w:rFonts w:hint="eastAsia" w:ascii="仿宋_GB2312" w:hAnsi="仿宋_GB2312" w:eastAsia="仿宋_GB2312" w:cs="仿宋_GB2312"/>
          <w:b w:val="0"/>
          <w:bCs w:val="0"/>
          <w:sz w:val="32"/>
          <w:szCs w:val="32"/>
        </w:rPr>
        <w:t>在乡政府办公场所或辖区内的公共场所设置政务公开栏，以张贴纸质文件的形式公开一些重要信息，如政策文件、通知公告、办事指南等，方便不便于使用网络的群众获取信息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实现</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rPr>
        <w:t>信息的多渠道发布和广泛传播。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(五)</w:t>
      </w:r>
      <w:bookmarkStart w:id="2" w:name="OLE_LINK3"/>
      <w:r>
        <w:rPr>
          <w:rFonts w:hint="eastAsia" w:ascii="仿宋_GB2312" w:hAnsi="仿宋_GB2312" w:eastAsia="仿宋_GB2312" w:cs="仿宋_GB2312"/>
          <w:b/>
          <w:bCs/>
          <w:sz w:val="32"/>
          <w:szCs w:val="32"/>
        </w:rPr>
        <w:t>监督保障情况</w:t>
      </w:r>
      <w:bookmarkEnd w:id="2"/>
      <w:r>
        <w:rPr>
          <w:rFonts w:hint="eastAsia" w:ascii="仿宋_GB2312" w:hAnsi="仿宋_GB2312" w:eastAsia="仿宋_GB2312" w:cs="仿宋_GB2312"/>
          <w:b/>
          <w:bCs/>
          <w:sz w:val="32"/>
          <w:szCs w:val="32"/>
        </w:rPr>
        <w:t>。一是强化考核监督。</w:t>
      </w:r>
      <w:r>
        <w:rPr>
          <w:rFonts w:hint="eastAsia" w:ascii="仿宋_GB2312" w:hAnsi="仿宋_GB2312" w:eastAsia="仿宋_GB2312" w:cs="仿宋_GB2312"/>
          <w:sz w:val="32"/>
          <w:szCs w:val="32"/>
        </w:rPr>
        <w:t>按照《自治区人民政府办公厅关于印发自治区</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政务公开第三方评估指标的通知》要求，</w:t>
      </w:r>
      <w:r>
        <w:rPr>
          <w:rFonts w:hint="eastAsia" w:ascii="仿宋_GB2312" w:hAnsi="仿宋_GB2312" w:eastAsia="仿宋_GB2312" w:cs="仿宋_GB2312"/>
          <w:sz w:val="32"/>
          <w:szCs w:val="32"/>
          <w:lang w:eastAsia="zh-CN"/>
        </w:rPr>
        <w:t>额玛勒郭楞蒙古民族乡</w:t>
      </w:r>
      <w:r>
        <w:rPr>
          <w:rFonts w:hint="eastAsia" w:ascii="仿宋_GB2312" w:hAnsi="仿宋_GB2312" w:eastAsia="仿宋_GB2312" w:cs="仿宋_GB2312"/>
          <w:sz w:val="32"/>
          <w:szCs w:val="32"/>
        </w:rPr>
        <w:t>将政府信息公开工作纳入日常工作安排和年终目标考核体系，提升政务公开工作的质量和实效，确保发布信息及时、规范、准确。通过这种方式增强对信息公开的重视程度和执行力度，促进信息公开工作的有效落实。</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是加强日常管理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对信息公开平台的日常维护和管理，确保信息发布的及时性和准确性，定期检查信息是否有错链断链、错别字等情况，保障信息发布的及时性、准确性、完整性。</w:t>
      </w:r>
      <w:r>
        <w:rPr>
          <w:rFonts w:hint="eastAsia" w:ascii="仿宋_GB2312" w:hAnsi="仿宋_GB2312" w:eastAsia="仿宋_GB2312" w:cs="仿宋_GB2312"/>
          <w:b/>
          <w:bCs/>
          <w:sz w:val="32"/>
          <w:szCs w:val="32"/>
          <w:lang w:eastAsia="zh-CN"/>
        </w:rPr>
        <w:t>三是接受社会监督。</w:t>
      </w:r>
      <w:r>
        <w:rPr>
          <w:rFonts w:hint="eastAsia" w:ascii="仿宋_GB2312" w:hAnsi="仿宋_GB2312" w:eastAsia="仿宋_GB2312" w:cs="仿宋_GB2312"/>
          <w:sz w:val="32"/>
          <w:szCs w:val="32"/>
          <w:lang w:eastAsia="zh-CN"/>
        </w:rPr>
        <w:t>额玛勒郭楞蒙古民族乡</w:t>
      </w:r>
      <w:r>
        <w:rPr>
          <w:rFonts w:hint="eastAsia" w:ascii="仿宋_GB2312" w:hAnsi="仿宋_GB2312" w:eastAsia="仿宋_GB2312" w:cs="仿宋_GB2312"/>
          <w:b w:val="0"/>
          <w:bCs w:val="0"/>
          <w:sz w:val="32"/>
          <w:szCs w:val="32"/>
          <w:lang w:eastAsia="zh-CN"/>
        </w:rPr>
        <w:t>主动公布咨询、监督投诉电话，接受有关部门、新闻媒体和广大群众的监督检查，通过这种方式增加信息公开工作的透明度，使公众能够参与到监督中来，确保信息公开工作的质量和效果。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二、主动公开政府信息情况</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2200"/>
        <w:gridCol w:w="180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本年制</w:t>
            </w:r>
            <w:r>
              <w:rPr>
                <w:rFonts w:hint="eastAsia" w:ascii="黑体" w:hAnsi="黑体" w:eastAsia="黑体" w:cs="黑体"/>
                <w:sz w:val="24"/>
                <w:szCs w:val="24"/>
                <w:lang w:eastAsia="zh-CN"/>
              </w:rPr>
              <w:t>发件数</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w:t>
            </w:r>
            <w:r>
              <w:rPr>
                <w:rFonts w:hint="eastAsia" w:ascii="黑体" w:hAnsi="黑体" w:eastAsia="黑体" w:cs="黑体"/>
                <w:sz w:val="24"/>
                <w:szCs w:val="24"/>
                <w:lang w:eastAsia="zh-CN"/>
              </w:rPr>
              <w:t>废止件数</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规章</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规范性文件</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行政许可</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行政处罚</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行政强制</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行政事业性收费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bl>
    <w:p>
      <w:pPr>
        <w:pStyle w:val="4"/>
        <w:widowControl/>
        <w:spacing w:before="0" w:beforeAutospacing="0" w:after="0" w:afterAutospacing="0" w:line="560" w:lineRule="exact"/>
        <w:ind w:firstLine="640" w:firstLineChars="200"/>
        <w:jc w:val="both"/>
        <w:rPr>
          <w:rFonts w:hint="eastAsia" w:ascii="黑体" w:hAnsi="黑体" w:eastAsia="黑体" w:cs="黑体"/>
          <w:sz w:val="32"/>
          <w:szCs w:val="30"/>
        </w:rPr>
      </w:pPr>
      <w:r>
        <w:rPr>
          <w:rFonts w:hint="eastAsia" w:ascii="黑体" w:hAnsi="黑体" w:eastAsia="黑体" w:cs="黑体"/>
          <w:sz w:val="32"/>
          <w:szCs w:val="30"/>
        </w:rPr>
        <w:t>三、收到和处理政府信息公开申请情况</w:t>
      </w:r>
    </w:p>
    <w:tbl>
      <w:tblPr>
        <w:tblStyle w:val="5"/>
        <w:tblW w:w="905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1009"/>
        <w:gridCol w:w="2979"/>
        <w:gridCol w:w="491"/>
        <w:gridCol w:w="703"/>
        <w:gridCol w:w="703"/>
        <w:gridCol w:w="703"/>
        <w:gridCol w:w="703"/>
        <w:gridCol w:w="514"/>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（本列数据的勾稽关系为：第一项加第二项之和，等于第三项加第四项之和）</w:t>
            </w:r>
          </w:p>
        </w:tc>
        <w:tc>
          <w:tcPr>
            <w:tcW w:w="4320" w:type="dxa"/>
            <w:gridSpan w:val="7"/>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黑体" w:hAnsi="黑体" w:eastAsia="黑体" w:cs="黑体"/>
                <w:sz w:val="24"/>
                <w:szCs w:val="24"/>
              </w:rPr>
            </w:pPr>
          </w:p>
        </w:tc>
        <w:tc>
          <w:tcPr>
            <w:tcW w:w="491"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自然人</w:t>
            </w:r>
          </w:p>
        </w:tc>
        <w:tc>
          <w:tcPr>
            <w:tcW w:w="3326" w:type="dxa"/>
            <w:gridSpan w:val="5"/>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503"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宋体" w:hAnsi="宋体" w:eastAsia="宋体" w:cs="宋体"/>
                <w:sz w:val="24"/>
                <w:szCs w:val="24"/>
              </w:rPr>
            </w:pPr>
          </w:p>
        </w:tc>
        <w:tc>
          <w:tcPr>
            <w:tcW w:w="491" w:type="dxa"/>
            <w:vMerge w:val="continue"/>
            <w:noWrap w:val="0"/>
            <w:tcMar>
              <w:left w:w="108" w:type="dxa"/>
              <w:right w:w="108" w:type="dxa"/>
            </w:tcMar>
            <w:vAlign w:val="center"/>
          </w:tcPr>
          <w:p>
            <w:pPr>
              <w:rPr>
                <w:rFonts w:hint="eastAsia" w:ascii="宋体" w:hAnsi="宋体" w:eastAsia="宋体" w:cs="宋体"/>
                <w:sz w:val="24"/>
                <w:szCs w:val="24"/>
              </w:rPr>
            </w:pP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商业企业</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科研机构</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社会公益组织</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法律服务机构</w:t>
            </w:r>
          </w:p>
        </w:tc>
        <w:tc>
          <w:tcPr>
            <w:tcW w:w="514"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其他</w:t>
            </w:r>
          </w:p>
        </w:tc>
        <w:tc>
          <w:tcPr>
            <w:tcW w:w="503" w:type="dxa"/>
            <w:vMerge w:val="continue"/>
            <w:noWrap w:val="0"/>
            <w:tcMar>
              <w:left w:w="108" w:type="dxa"/>
              <w:right w:w="108" w:type="dxa"/>
            </w:tcMar>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491"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491" w:type="dxa"/>
            <w:noWrap w:val="0"/>
            <w:tcMar>
              <w:left w:w="108" w:type="dxa"/>
              <w:right w:w="108" w:type="dxa"/>
            </w:tcMar>
            <w:vAlign w:val="center"/>
          </w:tcPr>
          <w:p>
            <w:pPr>
              <w:rPr>
                <w:rFonts w:hint="eastAsia" w:ascii="宋体" w:hAnsi="宋体" w:eastAsia="宋体" w:cs="宋体"/>
                <w:sz w:val="24"/>
                <w:szCs w:val="24"/>
              </w:rPr>
            </w:pP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（一）予以公开</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（二）部分公开（区分处理的，只计这一情形，不计其他情形）</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1"/>
              </w:numPr>
              <w:jc w:val="center"/>
              <w:rPr>
                <w:rFonts w:hint="eastAsia" w:ascii="宋体" w:hAnsi="宋体" w:eastAsia="宋体" w:cs="宋体"/>
                <w:outline w:val="0"/>
                <w:shadow w:val="0"/>
                <w:emboss w:val="0"/>
                <w:imprint w:val="0"/>
                <w:vanish w:val="0"/>
                <w:spacing w:val="-11"/>
                <w:w w:val="100"/>
                <w:sz w:val="24"/>
                <w:szCs w:val="24"/>
                <w:u w:val="none"/>
              </w:rPr>
            </w:pPr>
          </w:p>
          <w:p>
            <w:pPr>
              <w:numPr>
                <w:ilvl w:val="0"/>
                <w:numId w:val="0"/>
              </w:numPr>
              <w:jc w:val="center"/>
              <w:rPr>
                <w:rFonts w:hint="eastAsia" w:ascii="宋体" w:hAnsi="宋体" w:eastAsia="宋体" w:cs="宋体"/>
                <w:outline w:val="0"/>
                <w:shadow w:val="0"/>
                <w:emboss w:val="0"/>
                <w:imprint w:val="0"/>
                <w:vanish w:val="0"/>
                <w:spacing w:val="-11"/>
                <w:w w:val="100"/>
                <w:sz w:val="24"/>
                <w:szCs w:val="24"/>
                <w:u w:val="none"/>
              </w:rPr>
            </w:pPr>
            <w:r>
              <w:rPr>
                <w:rFonts w:hint="eastAsia" w:ascii="宋体" w:hAnsi="宋体" w:eastAsia="宋体" w:cs="宋体"/>
                <w:outline w:val="0"/>
                <w:shadow w:val="0"/>
                <w:emboss w:val="0"/>
                <w:imprint w:val="0"/>
                <w:vanish w:val="0"/>
                <w:spacing w:val="-11"/>
                <w:w w:val="100"/>
                <w:sz w:val="24"/>
                <w:szCs w:val="24"/>
                <w:u w:val="none"/>
              </w:rPr>
              <w:t>不予</w:t>
            </w:r>
          </w:p>
          <w:p>
            <w:pPr>
              <w:numPr>
                <w:ilvl w:val="0"/>
                <w:numId w:val="0"/>
              </w:numPr>
              <w:jc w:val="center"/>
              <w:rPr>
                <w:rFonts w:hint="eastAsia" w:ascii="宋体" w:hAnsi="宋体" w:eastAsia="宋体" w:cs="宋体"/>
                <w:sz w:val="24"/>
                <w:szCs w:val="24"/>
              </w:rPr>
            </w:pPr>
            <w:r>
              <w:rPr>
                <w:rFonts w:hint="eastAsia" w:ascii="宋体" w:hAnsi="宋体" w:eastAsia="宋体" w:cs="宋体"/>
                <w:outline w:val="0"/>
                <w:shadow w:val="0"/>
                <w:emboss w:val="0"/>
                <w:imprint w:val="0"/>
                <w:vanish w:val="0"/>
                <w:spacing w:val="-11"/>
                <w:w w:val="100"/>
                <w:sz w:val="24"/>
                <w:szCs w:val="24"/>
                <w:u w:val="none"/>
              </w:rPr>
              <w:t>公开</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（四）无法</w:t>
            </w:r>
          </w:p>
          <w:p>
            <w:pPr>
              <w:jc w:val="center"/>
              <w:rPr>
                <w:rFonts w:hint="eastAsia" w:ascii="宋体" w:hAnsi="宋体" w:eastAsia="宋体" w:cs="宋体"/>
                <w:sz w:val="24"/>
                <w:szCs w:val="24"/>
              </w:rPr>
            </w:pPr>
            <w:r>
              <w:rPr>
                <w:rFonts w:hint="eastAsia" w:ascii="宋体" w:hAnsi="宋体" w:eastAsia="宋体" w:cs="宋体"/>
                <w:sz w:val="24"/>
                <w:szCs w:val="24"/>
              </w:rPr>
              <w:t>提供</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（五）</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不予</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 w:hRule="atLeast"/>
          <w:jc w:val="center"/>
        </w:trPr>
        <w:tc>
          <w:tcPr>
            <w:tcW w:w="747" w:type="dxa"/>
            <w:vMerge w:val="restart"/>
            <w:tcBorders>
              <w:right w:val="single" w:color="auto" w:sz="4" w:space="0"/>
            </w:tcBorders>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1009"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（六）</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其他</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tcBorders>
              <w:top w:val="single" w:color="auto" w:sz="4" w:space="0"/>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1</w:t>
            </w:r>
            <w:r>
              <w:rPr>
                <w:rFonts w:hint="eastAsia" w:ascii="宋体" w:hAnsi="宋体" w:eastAsia="宋体" w:cs="宋体"/>
                <w:sz w:val="24"/>
                <w:szCs w:val="24"/>
                <w:lang w:val="en-US" w:eastAsia="zh-CN"/>
              </w:rPr>
              <w:t>.申请人无正当理由逾期不补正、行政机关不再处理其政府信息公开申请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2</w:t>
            </w:r>
            <w:r>
              <w:rPr>
                <w:rFonts w:hint="eastAsia" w:ascii="宋体" w:hAnsi="宋体" w:eastAsia="宋体" w:cs="宋体"/>
                <w:sz w:val="24"/>
                <w:szCs w:val="24"/>
                <w:lang w:val="en-US" w:eastAsia="zh-CN"/>
              </w:rPr>
              <w:t>.申请人逾期未按收费通知要求缴纳费用、行政机关不再处理其政府信息公开申请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3</w:t>
            </w:r>
            <w:r>
              <w:rPr>
                <w:rFonts w:hint="eastAsia" w:ascii="宋体" w:hAnsi="宋体" w:eastAsia="宋体" w:cs="宋体"/>
                <w:sz w:val="24"/>
                <w:szCs w:val="24"/>
                <w:lang w:val="en-US" w:eastAsia="zh-CN"/>
              </w:rPr>
              <w:t>.其他</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3988" w:type="dxa"/>
            <w:gridSpan w:val="2"/>
            <w:tcBorders>
              <w:top w:val="single" w:color="auto" w:sz="4" w:space="0"/>
            </w:tcBorders>
            <w:noWrap w:val="0"/>
            <w:tcMar>
              <w:left w:w="108" w:type="dxa"/>
              <w:right w:w="108" w:type="dxa"/>
            </w:tcMar>
            <w:vAlign w:val="center"/>
          </w:tcPr>
          <w:p>
            <w:pPr>
              <w:jc w:val="left"/>
              <w:rPr>
                <w:rFonts w:hint="eastAsia" w:ascii="宋体" w:hAnsi="宋体" w:eastAsia="宋体" w:cs="宋体"/>
                <w:sz w:val="24"/>
                <w:szCs w:val="24"/>
              </w:rPr>
            </w:pPr>
            <w:r>
              <w:rPr>
                <w:rFonts w:hint="eastAsia" w:ascii="宋体" w:hAnsi="宋体" w:eastAsia="宋体" w:cs="宋体"/>
                <w:sz w:val="24"/>
                <w:szCs w:val="24"/>
              </w:rPr>
              <w:t>（七）总计</w:t>
            </w:r>
          </w:p>
        </w:tc>
        <w:tc>
          <w:tcPr>
            <w:tcW w:w="491"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735" w:type="dxa"/>
            <w:gridSpan w:val="3"/>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四、结转下年度继续办理</w:t>
            </w:r>
          </w:p>
        </w:tc>
        <w:tc>
          <w:tcPr>
            <w:tcW w:w="491"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5"/>
        <w:tblW w:w="9058"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525"/>
        <w:gridCol w:w="542"/>
        <w:gridCol w:w="525"/>
        <w:gridCol w:w="598"/>
        <w:gridCol w:w="607"/>
        <w:gridCol w:w="558"/>
        <w:gridCol w:w="687"/>
        <w:gridCol w:w="591"/>
        <w:gridCol w:w="721"/>
        <w:gridCol w:w="687"/>
        <w:gridCol w:w="638"/>
        <w:gridCol w:w="638"/>
        <w:gridCol w:w="638"/>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2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行政复议</w:t>
            </w:r>
          </w:p>
        </w:tc>
        <w:tc>
          <w:tcPr>
            <w:tcW w:w="6336"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3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54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9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计</w:t>
            </w:r>
          </w:p>
        </w:tc>
        <w:tc>
          <w:tcPr>
            <w:tcW w:w="316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未经复议直接起诉</w:t>
            </w:r>
          </w:p>
        </w:tc>
        <w:tc>
          <w:tcPr>
            <w:tcW w:w="317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53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9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val="en-US" w:eastAsia="zh-CN" w:bidi="ar"/>
              </w:rPr>
            </w:pPr>
            <w:r>
              <w:rPr>
                <w:rFonts w:hint="eastAsia" w:ascii="黑体" w:hAnsi="黑体" w:eastAsia="黑体" w:cs="黑体"/>
                <w:kern w:val="0"/>
                <w:sz w:val="24"/>
                <w:lang w:bidi="ar"/>
              </w:rPr>
              <w:t>总</w:t>
            </w:r>
            <w:r>
              <w:rPr>
                <w:rFonts w:hint="eastAsia" w:ascii="黑体" w:hAnsi="黑体" w:eastAsia="黑体" w:cs="黑体"/>
                <w:kern w:val="0"/>
                <w:sz w:val="24"/>
                <w:lang w:val="en-US" w:eastAsia="zh-CN" w:bidi="ar"/>
              </w:rPr>
              <w:t xml:space="preserve"> </w:t>
            </w:r>
            <w:r>
              <w:rPr>
                <w:rFonts w:hint="eastAsia" w:ascii="黑体" w:hAnsi="黑体" w:eastAsia="黑体" w:cs="黑体"/>
                <w:kern w:val="0"/>
                <w:sz w:val="24"/>
                <w:lang w:bidi="ar"/>
              </w:rPr>
              <w:t>计</w:t>
            </w:r>
            <w:r>
              <w:rPr>
                <w:rFonts w:hint="eastAsia" w:ascii="黑体" w:hAnsi="黑体" w:eastAsia="黑体" w:cs="黑体"/>
                <w:kern w:val="0"/>
                <w:sz w:val="24"/>
                <w:lang w:val="en-US" w:eastAsia="zh-CN" w:bidi="ar"/>
              </w:rPr>
              <w:t xml:space="preserve">   </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4" w:hRule="atLeast"/>
          <w:jc w:val="center"/>
        </w:trPr>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5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sz w:val="24"/>
                <w:szCs w:val="24"/>
                <w:lang w:val="en-US" w:eastAsia="zh-CN"/>
              </w:rPr>
              <w:t>0</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sz w:val="24"/>
                <w:szCs w:val="24"/>
                <w:lang w:val="en-US" w:eastAsia="zh-CN"/>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五、</w:t>
      </w:r>
      <w:bookmarkStart w:id="3" w:name="OLE_LINK4"/>
      <w:r>
        <w:rPr>
          <w:rFonts w:hint="eastAsia" w:ascii="黑体" w:hAnsi="黑体" w:eastAsia="黑体" w:cs="宋体"/>
          <w:sz w:val="32"/>
          <w:szCs w:val="32"/>
        </w:rPr>
        <w:t>存在的主要问题及改进情况</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2024年额敏县额玛勒郭楞蒙古民族乡人民政府信息公开工作取得了一定进展，但还存在以下问题:一</w:t>
      </w:r>
      <w:r>
        <w:rPr>
          <w:rFonts w:hint="eastAsia" w:ascii="仿宋_GB2312" w:hAnsi="仿宋_GB2312" w:eastAsia="仿宋_GB2312" w:cs="仿宋_GB2312"/>
          <w:b/>
          <w:bCs/>
          <w:sz w:val="32"/>
          <w:szCs w:val="32"/>
          <w:lang w:eastAsia="zh-CN"/>
        </w:rPr>
        <w:t>是公开内容的全面性欠缺。</w:t>
      </w:r>
      <w:r>
        <w:rPr>
          <w:rFonts w:hint="eastAsia" w:ascii="仿宋_GB2312" w:hAnsi="仿宋_GB2312" w:eastAsia="仿宋_GB2312" w:cs="仿宋_GB2312"/>
          <w:b w:val="0"/>
          <w:bCs w:val="0"/>
          <w:sz w:val="32"/>
          <w:szCs w:val="32"/>
          <w:lang w:eastAsia="zh-CN"/>
        </w:rPr>
        <w:t>对于一些群众关注度高、涉及切身利益的领域，如民生保障、项目建设等，公开内容不够详细。以民生保障中的低保申请为例，只公开了申请的基本条件，对于申请流程中的特殊情况说明、审核细节等内容未公开，使得部分群众在申请过程中遇到问题时不知所措。二</w:t>
      </w:r>
      <w:r>
        <w:rPr>
          <w:rFonts w:hint="eastAsia" w:ascii="仿宋_GB2312" w:hAnsi="仿宋_GB2312" w:eastAsia="仿宋_GB2312" w:cs="仿宋_GB2312"/>
          <w:b/>
          <w:bCs/>
          <w:sz w:val="32"/>
          <w:szCs w:val="32"/>
          <w:lang w:eastAsia="zh-CN"/>
        </w:rPr>
        <w:t>是信息公开的形式单一。</w:t>
      </w:r>
      <w:r>
        <w:rPr>
          <w:rFonts w:hint="eastAsia" w:ascii="仿宋_GB2312" w:hAnsi="仿宋_GB2312" w:eastAsia="仿宋_GB2312" w:cs="仿宋_GB2312"/>
          <w:b w:val="0"/>
          <w:bCs w:val="0"/>
          <w:sz w:val="32"/>
          <w:szCs w:val="32"/>
          <w:lang w:eastAsia="zh-CN"/>
        </w:rPr>
        <w:t>主要依赖政府网、广播、宣传栏等传统方式进行信息公开，对于其他渠道的运用不够充分，导致信息覆盖范围有限。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针对存在问题，额敏县额玛勒郭楞蒙古民族乡人民政府将从以下几个方面进行改进。一</w:t>
      </w:r>
      <w:r>
        <w:rPr>
          <w:rFonts w:hint="eastAsia" w:ascii="仿宋_GB2312" w:hAnsi="仿宋_GB2312" w:eastAsia="仿宋_GB2312" w:cs="仿宋_GB2312"/>
          <w:b/>
          <w:bCs/>
          <w:sz w:val="32"/>
          <w:szCs w:val="32"/>
          <w:lang w:eastAsia="zh-CN"/>
        </w:rPr>
        <w:t>是制定详细的公开内容清单。</w:t>
      </w:r>
      <w:r>
        <w:rPr>
          <w:rFonts w:hint="eastAsia" w:ascii="仿宋_GB2312" w:hAnsi="仿宋_GB2312" w:eastAsia="仿宋_GB2312" w:cs="仿宋_GB2312"/>
          <w:b w:val="0"/>
          <w:bCs w:val="0"/>
          <w:sz w:val="32"/>
          <w:szCs w:val="32"/>
          <w:lang w:eastAsia="zh-CN"/>
        </w:rPr>
        <w:t>对民生保障、项目建设等重点领域，明确必须公开的具体内容和标准。在民生保障领域，不仅公开申请条件，还详细公开申请流程。通过内容清单的制定，公开内容更加全面、规范，群众对政府工作的监督更加有效。二</w:t>
      </w:r>
      <w:r>
        <w:rPr>
          <w:rFonts w:hint="eastAsia" w:ascii="仿宋_GB2312" w:hAnsi="仿宋_GB2312" w:eastAsia="仿宋_GB2312" w:cs="仿宋_GB2312"/>
          <w:b/>
          <w:bCs/>
          <w:sz w:val="32"/>
          <w:szCs w:val="32"/>
          <w:lang w:eastAsia="zh-CN"/>
        </w:rPr>
        <w:t>是拓宽信息公开渠道。</w:t>
      </w:r>
      <w:r>
        <w:rPr>
          <w:rFonts w:hint="eastAsia" w:ascii="仿宋_GB2312" w:hAnsi="仿宋_GB2312" w:eastAsia="仿宋_GB2312" w:cs="仿宋_GB2312"/>
          <w:b w:val="0"/>
          <w:bCs w:val="0"/>
          <w:sz w:val="32"/>
          <w:szCs w:val="32"/>
          <w:lang w:eastAsia="zh-CN"/>
        </w:rPr>
        <w:t>除政府网站、广播、宣传栏外，充分利用微信公众号、微信群等多种渠道进行信息公开。在各村设立固定的宣传栏，并定期更新内容；每天在固定时段通过广播播报重要政策和信息；利用微信公众号及时推送政府工作动态和民生信息，方便群众随时随地获取。通过多渠道公开，信息覆盖范围大幅扩大，群众对政府工作的知晓度明显提高，偏远村庄的村民也能及时了解政府信息。</w:t>
      </w:r>
    </w:p>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六、其他需要报告的事项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本机关按照《国务院办公厅关于印发&lt;政府信息公开信息处理费管理办法&gt;的通知》(国办函(2020)109号)规定的按件、按量收费标准，本年度没有产生信息公开处理费。</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额敏县额玛勒郭楞蒙古民族乡人民政府</w:t>
      </w:r>
    </w:p>
    <w:p>
      <w:pPr>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1984" w:right="1531" w:bottom="1701" w:left="1531" w:header="851" w:footer="1417" w:gutter="0"/>
      <w:pgNumType w:fmt="decimal" w:start="4"/>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16BC5"/>
    <w:multiLevelType w:val="singleLevel"/>
    <w:tmpl w:val="47316B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51CE"/>
    <w:rsid w:val="045D649A"/>
    <w:rsid w:val="0C831E8B"/>
    <w:rsid w:val="0DBE5485"/>
    <w:rsid w:val="0FB1ED13"/>
    <w:rsid w:val="15FB8EA7"/>
    <w:rsid w:val="17F90D9B"/>
    <w:rsid w:val="1A3E1799"/>
    <w:rsid w:val="1BF9075A"/>
    <w:rsid w:val="1D577EA2"/>
    <w:rsid w:val="1DBDFBC9"/>
    <w:rsid w:val="1FDB8C67"/>
    <w:rsid w:val="20C23F6B"/>
    <w:rsid w:val="22546A82"/>
    <w:rsid w:val="23B8209D"/>
    <w:rsid w:val="253F0E1D"/>
    <w:rsid w:val="26F84053"/>
    <w:rsid w:val="275B0B37"/>
    <w:rsid w:val="283B2C60"/>
    <w:rsid w:val="2C1044F8"/>
    <w:rsid w:val="2D137538"/>
    <w:rsid w:val="2DBFBC40"/>
    <w:rsid w:val="2DFDE716"/>
    <w:rsid w:val="2E7B3A54"/>
    <w:rsid w:val="2F6DEC47"/>
    <w:rsid w:val="2FDF01AE"/>
    <w:rsid w:val="2FF4864B"/>
    <w:rsid w:val="2FFB22A4"/>
    <w:rsid w:val="33476133"/>
    <w:rsid w:val="33D714C0"/>
    <w:rsid w:val="34461A72"/>
    <w:rsid w:val="349F05A9"/>
    <w:rsid w:val="34BBC352"/>
    <w:rsid w:val="34FE6837"/>
    <w:rsid w:val="355868B3"/>
    <w:rsid w:val="35FD630A"/>
    <w:rsid w:val="369EAFAC"/>
    <w:rsid w:val="37E6ECC8"/>
    <w:rsid w:val="37FFDA62"/>
    <w:rsid w:val="3AA047F9"/>
    <w:rsid w:val="3AFF2EE8"/>
    <w:rsid w:val="3BDABEC6"/>
    <w:rsid w:val="3BF54923"/>
    <w:rsid w:val="3BFF17F9"/>
    <w:rsid w:val="3D7F7DD5"/>
    <w:rsid w:val="3DFE6730"/>
    <w:rsid w:val="3DFF1F5B"/>
    <w:rsid w:val="3EAB0813"/>
    <w:rsid w:val="3ECDB389"/>
    <w:rsid w:val="3F9713AE"/>
    <w:rsid w:val="3FBE452B"/>
    <w:rsid w:val="42DA4FDF"/>
    <w:rsid w:val="45FF8569"/>
    <w:rsid w:val="48931E71"/>
    <w:rsid w:val="495FD348"/>
    <w:rsid w:val="4AFE2542"/>
    <w:rsid w:val="4B476D29"/>
    <w:rsid w:val="4DF5448C"/>
    <w:rsid w:val="4E5D3FAD"/>
    <w:rsid w:val="4ED3CC05"/>
    <w:rsid w:val="4EE7823E"/>
    <w:rsid w:val="4F7F0F6C"/>
    <w:rsid w:val="53CA7619"/>
    <w:rsid w:val="53FDAC02"/>
    <w:rsid w:val="53FFBDEB"/>
    <w:rsid w:val="54BF66A9"/>
    <w:rsid w:val="54D066C3"/>
    <w:rsid w:val="55FE89AF"/>
    <w:rsid w:val="569BCBE4"/>
    <w:rsid w:val="56F75819"/>
    <w:rsid w:val="573D23C5"/>
    <w:rsid w:val="57ABD0BC"/>
    <w:rsid w:val="588F9D8D"/>
    <w:rsid w:val="5AFEA431"/>
    <w:rsid w:val="5B0F0C9E"/>
    <w:rsid w:val="5BDBA9BF"/>
    <w:rsid w:val="5CA772BC"/>
    <w:rsid w:val="5D3EFB57"/>
    <w:rsid w:val="5DB52F95"/>
    <w:rsid w:val="5DEA2796"/>
    <w:rsid w:val="5E77C89D"/>
    <w:rsid w:val="5EDFBC86"/>
    <w:rsid w:val="5EEE0E0E"/>
    <w:rsid w:val="5EFFF25A"/>
    <w:rsid w:val="5F5B3921"/>
    <w:rsid w:val="5FBD29CB"/>
    <w:rsid w:val="5FBF7A07"/>
    <w:rsid w:val="5FFFB2CA"/>
    <w:rsid w:val="63EB0F43"/>
    <w:rsid w:val="63F51A12"/>
    <w:rsid w:val="666F524E"/>
    <w:rsid w:val="67FC9BDC"/>
    <w:rsid w:val="69C253C8"/>
    <w:rsid w:val="69FECB58"/>
    <w:rsid w:val="6A502537"/>
    <w:rsid w:val="6ADF26F4"/>
    <w:rsid w:val="6BF7ACEA"/>
    <w:rsid w:val="6BFE896C"/>
    <w:rsid w:val="6EE57227"/>
    <w:rsid w:val="6EEFE970"/>
    <w:rsid w:val="6EFE2D9F"/>
    <w:rsid w:val="6FDF5FD4"/>
    <w:rsid w:val="6FF96D33"/>
    <w:rsid w:val="73BF1F48"/>
    <w:rsid w:val="73C924FF"/>
    <w:rsid w:val="73FA93CF"/>
    <w:rsid w:val="73FB804A"/>
    <w:rsid w:val="74772C9E"/>
    <w:rsid w:val="75B7F74D"/>
    <w:rsid w:val="766E0EC9"/>
    <w:rsid w:val="76B785F1"/>
    <w:rsid w:val="774E65D4"/>
    <w:rsid w:val="77D970E5"/>
    <w:rsid w:val="77DFF527"/>
    <w:rsid w:val="77FC4B6E"/>
    <w:rsid w:val="77FD1A6A"/>
    <w:rsid w:val="77FF625D"/>
    <w:rsid w:val="7A5F28C2"/>
    <w:rsid w:val="7AFF576F"/>
    <w:rsid w:val="7AFFB878"/>
    <w:rsid w:val="7B7708EE"/>
    <w:rsid w:val="7B79145D"/>
    <w:rsid w:val="7BC6063A"/>
    <w:rsid w:val="7BCFBD38"/>
    <w:rsid w:val="7BF2FDC5"/>
    <w:rsid w:val="7BFC57ED"/>
    <w:rsid w:val="7BFF4374"/>
    <w:rsid w:val="7C96545E"/>
    <w:rsid w:val="7D4F3E3E"/>
    <w:rsid w:val="7D5FEFA5"/>
    <w:rsid w:val="7D6CD867"/>
    <w:rsid w:val="7D764056"/>
    <w:rsid w:val="7D7DBA64"/>
    <w:rsid w:val="7D9FC4D8"/>
    <w:rsid w:val="7DFED623"/>
    <w:rsid w:val="7DFF4180"/>
    <w:rsid w:val="7E7538F9"/>
    <w:rsid w:val="7EB8C56E"/>
    <w:rsid w:val="7EB928EB"/>
    <w:rsid w:val="7EBFF697"/>
    <w:rsid w:val="7EFC0E7B"/>
    <w:rsid w:val="7EFC9B8D"/>
    <w:rsid w:val="7EFE4EAD"/>
    <w:rsid w:val="7EFF7404"/>
    <w:rsid w:val="7EFFC735"/>
    <w:rsid w:val="7F50710A"/>
    <w:rsid w:val="7F6F1D4B"/>
    <w:rsid w:val="7F748D63"/>
    <w:rsid w:val="7F77B9DA"/>
    <w:rsid w:val="7F9F6549"/>
    <w:rsid w:val="7FAF5D99"/>
    <w:rsid w:val="7FB47235"/>
    <w:rsid w:val="7FBEEAAC"/>
    <w:rsid w:val="7FBFA13F"/>
    <w:rsid w:val="7FCBBEBA"/>
    <w:rsid w:val="7FEEAFD2"/>
    <w:rsid w:val="7FEF8F94"/>
    <w:rsid w:val="7FEFDD07"/>
    <w:rsid w:val="7FF07130"/>
    <w:rsid w:val="7FF99BD5"/>
    <w:rsid w:val="7FF9F85E"/>
    <w:rsid w:val="7FFB59C1"/>
    <w:rsid w:val="7FFE0B86"/>
    <w:rsid w:val="7FFF7799"/>
    <w:rsid w:val="7FFF8484"/>
    <w:rsid w:val="7FFFEEE5"/>
    <w:rsid w:val="8BFEFC87"/>
    <w:rsid w:val="90FBB6AE"/>
    <w:rsid w:val="92DDA34E"/>
    <w:rsid w:val="93FCA4F3"/>
    <w:rsid w:val="96FD0614"/>
    <w:rsid w:val="9BFF7797"/>
    <w:rsid w:val="9E4E6617"/>
    <w:rsid w:val="9EC78753"/>
    <w:rsid w:val="9FAAAD1E"/>
    <w:rsid w:val="9FAD36FF"/>
    <w:rsid w:val="9FBFF697"/>
    <w:rsid w:val="9FFA9AFD"/>
    <w:rsid w:val="9FFB8AD4"/>
    <w:rsid w:val="A7F51AF6"/>
    <w:rsid w:val="A7FEB3B1"/>
    <w:rsid w:val="AAFF459F"/>
    <w:rsid w:val="ABEE8AF0"/>
    <w:rsid w:val="ADDE413E"/>
    <w:rsid w:val="ADFF1E01"/>
    <w:rsid w:val="B8DCC92C"/>
    <w:rsid w:val="BAB13A0D"/>
    <w:rsid w:val="BBD77E1F"/>
    <w:rsid w:val="BBEFE269"/>
    <w:rsid w:val="BBFBA881"/>
    <w:rsid w:val="BCF75867"/>
    <w:rsid w:val="BCFF9D6E"/>
    <w:rsid w:val="BD1BC2C7"/>
    <w:rsid w:val="BD7690B0"/>
    <w:rsid w:val="BDBFA14F"/>
    <w:rsid w:val="BDEEC5E1"/>
    <w:rsid w:val="BEF34AD8"/>
    <w:rsid w:val="BEF3D2E6"/>
    <w:rsid w:val="BEFFB7D0"/>
    <w:rsid w:val="BF22C904"/>
    <w:rsid w:val="BF3BD795"/>
    <w:rsid w:val="BFDF0F8C"/>
    <w:rsid w:val="BFEF4541"/>
    <w:rsid w:val="BFF7D9D8"/>
    <w:rsid w:val="BFFA78D4"/>
    <w:rsid w:val="BFFC642A"/>
    <w:rsid w:val="C67B7F41"/>
    <w:rsid w:val="C6FF2F6B"/>
    <w:rsid w:val="CB340FF9"/>
    <w:rsid w:val="CBFFFECB"/>
    <w:rsid w:val="CF5F3C76"/>
    <w:rsid w:val="CFC37AE3"/>
    <w:rsid w:val="CFCF4378"/>
    <w:rsid w:val="CFEF33B0"/>
    <w:rsid w:val="CFF65123"/>
    <w:rsid w:val="CFF8DECE"/>
    <w:rsid w:val="D73AD7DC"/>
    <w:rsid w:val="DAF7B794"/>
    <w:rsid w:val="DCFFC7DA"/>
    <w:rsid w:val="DD27EE3C"/>
    <w:rsid w:val="DDBA4366"/>
    <w:rsid w:val="DDFBF5DC"/>
    <w:rsid w:val="DE11FC53"/>
    <w:rsid w:val="DE6F9D4D"/>
    <w:rsid w:val="DE7D17E3"/>
    <w:rsid w:val="DE7FE1BC"/>
    <w:rsid w:val="DEBF8F76"/>
    <w:rsid w:val="DF7ED54A"/>
    <w:rsid w:val="DF97DC17"/>
    <w:rsid w:val="DFBDD0B0"/>
    <w:rsid w:val="DFC35436"/>
    <w:rsid w:val="DFCBD6AE"/>
    <w:rsid w:val="DFD7763D"/>
    <w:rsid w:val="DFD96B7E"/>
    <w:rsid w:val="DFEDC74E"/>
    <w:rsid w:val="DFF55861"/>
    <w:rsid w:val="DFF69220"/>
    <w:rsid w:val="DFF6FC90"/>
    <w:rsid w:val="DFFE273C"/>
    <w:rsid w:val="DFFF4100"/>
    <w:rsid w:val="E3379851"/>
    <w:rsid w:val="E3BDB839"/>
    <w:rsid w:val="E4FFDC32"/>
    <w:rsid w:val="E53B485A"/>
    <w:rsid w:val="E5B7C707"/>
    <w:rsid w:val="E657A35C"/>
    <w:rsid w:val="E65DCF39"/>
    <w:rsid w:val="E7B66ED8"/>
    <w:rsid w:val="E7FBEB55"/>
    <w:rsid w:val="E9FEA61A"/>
    <w:rsid w:val="EB76D68E"/>
    <w:rsid w:val="EBB9FF58"/>
    <w:rsid w:val="EBF6182D"/>
    <w:rsid w:val="EBFFD9A2"/>
    <w:rsid w:val="EC6DDFA3"/>
    <w:rsid w:val="ECF73D77"/>
    <w:rsid w:val="EDFE06ED"/>
    <w:rsid w:val="EDFE3535"/>
    <w:rsid w:val="EDFFB8CE"/>
    <w:rsid w:val="EE7BDC30"/>
    <w:rsid w:val="EEE94709"/>
    <w:rsid w:val="EF5BEFA1"/>
    <w:rsid w:val="EFF11AC6"/>
    <w:rsid w:val="F0D74422"/>
    <w:rsid w:val="F1FF93C6"/>
    <w:rsid w:val="F2F7A314"/>
    <w:rsid w:val="F33F86FA"/>
    <w:rsid w:val="F3EF72B4"/>
    <w:rsid w:val="F3F7F6FB"/>
    <w:rsid w:val="F551BBA4"/>
    <w:rsid w:val="F55F552F"/>
    <w:rsid w:val="F56FE98B"/>
    <w:rsid w:val="F5F7AECF"/>
    <w:rsid w:val="F5FB699F"/>
    <w:rsid w:val="F67B4ABB"/>
    <w:rsid w:val="F6FD0327"/>
    <w:rsid w:val="F73FD98A"/>
    <w:rsid w:val="F785B677"/>
    <w:rsid w:val="F79BFADD"/>
    <w:rsid w:val="F7ADB44B"/>
    <w:rsid w:val="F7BB17D9"/>
    <w:rsid w:val="F7E773A7"/>
    <w:rsid w:val="F7F3D891"/>
    <w:rsid w:val="F7FD181E"/>
    <w:rsid w:val="F7FF56AE"/>
    <w:rsid w:val="F7FFBA43"/>
    <w:rsid w:val="F8E0F921"/>
    <w:rsid w:val="F8F0B3C6"/>
    <w:rsid w:val="F92C20D0"/>
    <w:rsid w:val="F9739605"/>
    <w:rsid w:val="F9BD7614"/>
    <w:rsid w:val="F9EBAEDB"/>
    <w:rsid w:val="FABF459C"/>
    <w:rsid w:val="FB317F09"/>
    <w:rsid w:val="FB753F9B"/>
    <w:rsid w:val="FBE7BA79"/>
    <w:rsid w:val="FBFB0BCD"/>
    <w:rsid w:val="FBFBF127"/>
    <w:rsid w:val="FBFE39B7"/>
    <w:rsid w:val="FCF183EF"/>
    <w:rsid w:val="FCF7EE51"/>
    <w:rsid w:val="FD7E4A48"/>
    <w:rsid w:val="FD9AA252"/>
    <w:rsid w:val="FDDD7FF3"/>
    <w:rsid w:val="FDDE23EF"/>
    <w:rsid w:val="FDE67FF7"/>
    <w:rsid w:val="FDF7108F"/>
    <w:rsid w:val="FDF74333"/>
    <w:rsid w:val="FDFD28B8"/>
    <w:rsid w:val="FEDF64A3"/>
    <w:rsid w:val="FEEFA244"/>
    <w:rsid w:val="FF07AA46"/>
    <w:rsid w:val="FF1FB1C8"/>
    <w:rsid w:val="FF2EF43B"/>
    <w:rsid w:val="FF3DCC43"/>
    <w:rsid w:val="FF6D16D2"/>
    <w:rsid w:val="FF720985"/>
    <w:rsid w:val="FF7A362E"/>
    <w:rsid w:val="FFAB512A"/>
    <w:rsid w:val="FFAD8402"/>
    <w:rsid w:val="FFAEAFBB"/>
    <w:rsid w:val="FFAF1D94"/>
    <w:rsid w:val="FFB5A8F6"/>
    <w:rsid w:val="FFB6D1BE"/>
    <w:rsid w:val="FFBDBCE1"/>
    <w:rsid w:val="FFCFD87C"/>
    <w:rsid w:val="FFD53D7A"/>
    <w:rsid w:val="FFD5CBD3"/>
    <w:rsid w:val="FFDCB75F"/>
    <w:rsid w:val="FFDFEDDF"/>
    <w:rsid w:val="FFEBA0D9"/>
    <w:rsid w:val="FFEFDF93"/>
    <w:rsid w:val="FFF68358"/>
    <w:rsid w:val="FFFC32AE"/>
    <w:rsid w:val="FFFF5553"/>
    <w:rsid w:val="FFFFB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2025-02-18T14:13:00Z</cp:lastPrinted>
  <dcterms:modified xsi:type="dcterms:W3CDTF">2025-02-20T04:31:03Z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B35D36AC452346108FD0998C149FAB5D</vt:lpwstr>
  </property>
</Properties>
</file>