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eastAsia="zh-CN"/>
        </w:rPr>
        <w:t>额敏县</w:t>
      </w:r>
      <w:r>
        <w:rPr>
          <w:rFonts w:hint="eastAsia" w:ascii="方正小标宋简体" w:hAnsi="方正小标宋简体" w:eastAsia="方正小标宋简体" w:cs="方正小标宋简体"/>
          <w:sz w:val="44"/>
          <w:szCs w:val="44"/>
          <w:lang w:eastAsia="zh-CN"/>
        </w:rPr>
        <w:t>财政局</w:t>
      </w:r>
      <w:r>
        <w:rPr>
          <w:rFonts w:hint="default" w:ascii="方正小标宋简体" w:hAnsi="方正小标宋简体" w:eastAsia="方正小标宋简体" w:cs="方正小标宋简体"/>
          <w:sz w:val="44"/>
          <w:szCs w:val="44"/>
          <w:lang w:val="en-US" w:eastAsia="zh-CN"/>
        </w:rPr>
        <w:t>2024年政府信息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公开工作年度报告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报告根据《中华人民共和国政府信息公开条例》（国务院令第711号）、《关于印发&lt;中华人民共和国政府信息公开工作年度报告格式&gt;的通知》（国办公开办函〔2021〕30号）、地区《关于做好2024年政府信息公开工作年度报告编制发布工作的通知》要求编制。报告全文包括总体情况、主动公开政府信息情况、收到和处理政府信息公开申请情况、因政府信息公开工作被申请行政复议和提起行政诉讼情况、政府信息公开存在的主要问题及改进情况，以及其他需要报告的事项六个部分。报告统计期限为2024年1月1日至2024年12月31日</w:t>
      </w:r>
      <w:r>
        <w:rPr>
          <w:rFonts w:hint="eastAsia" w:ascii="Times New Roman" w:hAnsi="Times New Roman" w:eastAsia="仿宋_GB2312" w:cs="Times New Roman"/>
          <w:sz w:val="32"/>
          <w:szCs w:val="32"/>
          <w:lang w:val="en-US" w:eastAsia="zh-CN"/>
        </w:rPr>
        <w:t>，</w:t>
      </w:r>
      <w:bookmarkStart w:id="0" w:name="_GoBack"/>
      <w:bookmarkEnd w:id="0"/>
      <w:r>
        <w:rPr>
          <w:rFonts w:hint="default" w:ascii="Times New Roman" w:hAnsi="Times New Roman" w:eastAsia="仿宋_GB2312" w:cs="Times New Roman"/>
          <w:sz w:val="32"/>
          <w:szCs w:val="32"/>
          <w:lang w:val="en-US" w:eastAsia="zh-CN"/>
        </w:rPr>
        <w:t>如对本报告有疑问，请与额敏县财政局办公室联系（地址：额敏县前进北路2号；邮编834600；电话及传真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0901-3815011）。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财政局严格落实《中华人民共和国政府信息公开条例》相关要求，贯彻落实党中央、国务院、自治区和地区关于推进政府信息公开决策部署。额敏县财政局围绕单位业务依法公开信息，为需要查询业务的人员提供快捷高效的查询渠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（一）主动公开。</w:t>
      </w:r>
      <w:r>
        <w:rPr>
          <w:rFonts w:hint="default" w:ascii="Times New Roman" w:hAnsi="Times New Roman" w:eastAsia="仿宋_GB2312" w:cs="Times New Roman"/>
          <w:sz w:val="32"/>
          <w:szCs w:val="32"/>
          <w:lang w:val="en-US" w:eastAsia="zh-CN"/>
        </w:rPr>
        <w:t>2024年，额敏县财政局严格落实《中华人民共和国政府信息公开条例》等政务公开有关文件规定，立足财政职能、着眼中心工作，持续加大政务公开力度，在额敏县人民政府网站主动公开信息14条，执行法规条例1条，政府购买服务指导目录1条，乡镇购买服务指导目录1条，预算绩效管理知识宣传1条，财政涉农专项资金公示公告5条，乡村振兴补助资金安排使用情况公告公示3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代理记账机构1条，会计监督检查结果公示1条。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bCs/>
          <w:sz w:val="32"/>
          <w:szCs w:val="32"/>
          <w:lang w:val="en-US" w:eastAsia="zh-CN"/>
        </w:rPr>
        <w:t>（二）依申请公开情况。</w:t>
      </w:r>
      <w:r>
        <w:rPr>
          <w:rFonts w:hint="eastAsia" w:ascii="仿宋_GB2312" w:hAnsi="仿宋_GB2312" w:eastAsia="仿宋_GB2312" w:cs="仿宋_GB2312"/>
          <w:b w:val="0"/>
          <w:bCs w:val="0"/>
          <w:sz w:val="32"/>
          <w:szCs w:val="32"/>
          <w:lang w:val="en-US" w:eastAsia="zh-CN"/>
        </w:rPr>
        <w:t>2024年财政局未收到依申请公开及政府信息公开方面的行政复议和行政诉讼备案，未收到信息公开举报投诉案件。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（三）政府信息管理情况。</w:t>
      </w:r>
      <w:r>
        <w:rPr>
          <w:rFonts w:hint="default" w:ascii="Times New Roman" w:hAnsi="Times New Roman" w:eastAsia="仿宋_GB2312" w:cs="Times New Roman"/>
          <w:sz w:val="32"/>
          <w:szCs w:val="32"/>
          <w:lang w:val="en-US" w:eastAsia="zh-CN"/>
        </w:rPr>
        <w:t>规范信息公开审查，所有公开信息均需通过保密审查，确保公开信息不涉密、不涉敏。严格审核机制，对需发布信息进行审核，建立拟稿人、科室负责人、分管领导、主要领导审定的联审机制，确保发布内容的准确性、合法性和合规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（四）平台建设情况。</w:t>
      </w:r>
      <w:r>
        <w:rPr>
          <w:rFonts w:hint="default" w:ascii="Times New Roman" w:hAnsi="Times New Roman" w:eastAsia="仿宋_GB2312" w:cs="Times New Roman"/>
          <w:sz w:val="32"/>
          <w:szCs w:val="32"/>
          <w:lang w:val="en-US" w:eastAsia="zh-CN"/>
        </w:rPr>
        <w:t>严格按照政府信息公开平台规范化建设的要求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聚焦法定公开内容，优化完善信息公开</w:t>
      </w:r>
      <w:r>
        <w:rPr>
          <w:rFonts w:hint="eastAsia" w:ascii="Times New Roman" w:hAnsi="Times New Roman" w:eastAsia="仿宋_GB2312" w:cs="Times New Roman"/>
          <w:sz w:val="32"/>
          <w:szCs w:val="32"/>
          <w:lang w:val="en-US" w:eastAsia="zh-CN"/>
        </w:rPr>
        <w:t>内容</w:t>
      </w:r>
      <w:r>
        <w:rPr>
          <w:rFonts w:hint="default" w:ascii="Times New Roman" w:hAnsi="Times New Roman" w:eastAsia="仿宋_GB2312" w:cs="Times New Roman"/>
          <w:sz w:val="32"/>
          <w:szCs w:val="32"/>
          <w:lang w:val="en-US" w:eastAsia="zh-CN"/>
        </w:rPr>
        <w:t>，确保群众及时了解财政信息动态。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（五）监督保障情况。</w:t>
      </w:r>
      <w:r>
        <w:rPr>
          <w:rFonts w:hint="default" w:ascii="Times New Roman" w:hAnsi="Times New Roman" w:eastAsia="仿宋_GB2312" w:cs="Times New Roman"/>
          <w:sz w:val="32"/>
          <w:szCs w:val="32"/>
          <w:lang w:val="en-US" w:eastAsia="zh-CN"/>
        </w:rPr>
        <w:t>建立健全常态化监督机制和内容审核机制，将政务公开工作纳入局目标责任制考核中，做到目标清晰、责任明确，确保公开信息规范。常态化开展自查自纠，发现问题及时整改落实到位。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2"/>
        <w:gridCol w:w="2273"/>
        <w:gridCol w:w="2239"/>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174" w:type="dxa"/>
            <w:gridSpan w:val="4"/>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442"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信息内容</w:t>
            </w:r>
          </w:p>
        </w:tc>
        <w:tc>
          <w:tcPr>
            <w:tcW w:w="227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本年制发件数</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本年废止件数</w:t>
            </w:r>
          </w:p>
        </w:tc>
        <w:tc>
          <w:tcPr>
            <w:tcW w:w="222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442"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规章</w:t>
            </w:r>
          </w:p>
        </w:tc>
        <w:tc>
          <w:tcPr>
            <w:tcW w:w="227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w:t>
            </w:r>
          </w:p>
        </w:tc>
        <w:tc>
          <w:tcPr>
            <w:tcW w:w="222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442"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规范性文件</w:t>
            </w:r>
          </w:p>
        </w:tc>
        <w:tc>
          <w:tcPr>
            <w:tcW w:w="2273"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p>
        </w:tc>
        <w:tc>
          <w:tcPr>
            <w:tcW w:w="223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0</w:t>
            </w:r>
          </w:p>
        </w:tc>
        <w:tc>
          <w:tcPr>
            <w:tcW w:w="2220"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174" w:type="dxa"/>
            <w:gridSpan w:val="4"/>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442"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信息内容</w:t>
            </w:r>
          </w:p>
        </w:tc>
        <w:tc>
          <w:tcPr>
            <w:tcW w:w="6732"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442"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行政许可</w:t>
            </w:r>
          </w:p>
        </w:tc>
        <w:tc>
          <w:tcPr>
            <w:tcW w:w="6732"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174" w:type="dxa"/>
            <w:gridSpan w:val="4"/>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442"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信息内容</w:t>
            </w:r>
          </w:p>
        </w:tc>
        <w:tc>
          <w:tcPr>
            <w:tcW w:w="6732"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442"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行政处罚</w:t>
            </w:r>
          </w:p>
        </w:tc>
        <w:tc>
          <w:tcPr>
            <w:tcW w:w="6732"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442"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行政强制</w:t>
            </w:r>
          </w:p>
        </w:tc>
        <w:tc>
          <w:tcPr>
            <w:tcW w:w="6732"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174" w:type="dxa"/>
            <w:gridSpan w:val="4"/>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442"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信息内容</w:t>
            </w:r>
          </w:p>
        </w:tc>
        <w:tc>
          <w:tcPr>
            <w:tcW w:w="6732"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2442" w:type="dxa"/>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行政事业性收费</w:t>
            </w:r>
          </w:p>
        </w:tc>
        <w:tc>
          <w:tcPr>
            <w:tcW w:w="6732" w:type="dxa"/>
            <w:gridSpan w:val="3"/>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0.6788</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W w:w="9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6"/>
        <w:gridCol w:w="1019"/>
        <w:gridCol w:w="3017"/>
        <w:gridCol w:w="497"/>
        <w:gridCol w:w="712"/>
        <w:gridCol w:w="712"/>
        <w:gridCol w:w="712"/>
        <w:gridCol w:w="712"/>
        <w:gridCol w:w="521"/>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92" w:type="dxa"/>
            <w:gridSpan w:val="3"/>
            <w:vMerge w:val="restart"/>
            <w:noWrap w:val="0"/>
            <w:tcMar>
              <w:left w:w="108" w:type="dxa"/>
              <w:right w:w="108" w:type="dxa"/>
            </w:tcMar>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（本列数据的勾稽关系为：第一项加第二项之和，等于第三项加第四项之和）</w:t>
            </w:r>
          </w:p>
        </w:tc>
        <w:tc>
          <w:tcPr>
            <w:tcW w:w="4376" w:type="dxa"/>
            <w:gridSpan w:val="7"/>
            <w:noWrap w:val="0"/>
            <w:tcMar>
              <w:left w:w="108" w:type="dxa"/>
              <w:right w:w="108" w:type="dxa"/>
            </w:tcMar>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92" w:type="dxa"/>
            <w:gridSpan w:val="3"/>
            <w:vMerge w:val="continue"/>
            <w:noWrap w:val="0"/>
            <w:tcMar>
              <w:left w:w="108" w:type="dxa"/>
              <w:right w:w="108" w:type="dxa"/>
            </w:tcMar>
            <w:vAlign w:val="center"/>
          </w:tcPr>
          <w:p>
            <w:pPr>
              <w:rPr>
                <w:rFonts w:hint="default" w:ascii="Times New Roman" w:hAnsi="Times New Roman" w:eastAsia="黑体" w:cs="Times New Roman"/>
                <w:sz w:val="24"/>
                <w:szCs w:val="24"/>
              </w:rPr>
            </w:pPr>
          </w:p>
        </w:tc>
        <w:tc>
          <w:tcPr>
            <w:tcW w:w="497" w:type="dxa"/>
            <w:vMerge w:val="restart"/>
            <w:noWrap w:val="0"/>
            <w:tcMar>
              <w:left w:w="108" w:type="dxa"/>
              <w:right w:w="108" w:type="dxa"/>
            </w:tcMar>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自然人</w:t>
            </w:r>
          </w:p>
        </w:tc>
        <w:tc>
          <w:tcPr>
            <w:tcW w:w="3369" w:type="dxa"/>
            <w:gridSpan w:val="5"/>
            <w:noWrap w:val="0"/>
            <w:tcMar>
              <w:left w:w="108" w:type="dxa"/>
              <w:right w:w="108" w:type="dxa"/>
            </w:tcMar>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法人或其他组织</w:t>
            </w:r>
          </w:p>
        </w:tc>
        <w:tc>
          <w:tcPr>
            <w:tcW w:w="510" w:type="dxa"/>
            <w:vMerge w:val="restart"/>
            <w:noWrap w:val="0"/>
            <w:tcMar>
              <w:left w:w="108" w:type="dxa"/>
              <w:right w:w="108" w:type="dxa"/>
            </w:tcMar>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blHeader/>
          <w:jc w:val="center"/>
        </w:trPr>
        <w:tc>
          <w:tcPr>
            <w:tcW w:w="4792" w:type="dxa"/>
            <w:gridSpan w:val="3"/>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497"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712" w:type="dxa"/>
            <w:noWrap w:val="0"/>
            <w:tcMar>
              <w:left w:w="108" w:type="dxa"/>
              <w:right w:w="108" w:type="dxa"/>
            </w:tcMar>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商业企业</w:t>
            </w:r>
          </w:p>
        </w:tc>
        <w:tc>
          <w:tcPr>
            <w:tcW w:w="712" w:type="dxa"/>
            <w:noWrap w:val="0"/>
            <w:tcMar>
              <w:left w:w="108" w:type="dxa"/>
              <w:right w:w="108" w:type="dxa"/>
            </w:tcMar>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科研机构</w:t>
            </w:r>
          </w:p>
        </w:tc>
        <w:tc>
          <w:tcPr>
            <w:tcW w:w="712" w:type="dxa"/>
            <w:noWrap w:val="0"/>
            <w:tcMar>
              <w:left w:w="108" w:type="dxa"/>
              <w:right w:w="108" w:type="dxa"/>
            </w:tcMar>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社会公益组织</w:t>
            </w:r>
          </w:p>
        </w:tc>
        <w:tc>
          <w:tcPr>
            <w:tcW w:w="712" w:type="dxa"/>
            <w:noWrap w:val="0"/>
            <w:tcMar>
              <w:left w:w="108" w:type="dxa"/>
              <w:right w:w="108" w:type="dxa"/>
            </w:tcMar>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法律服务机构</w:t>
            </w:r>
          </w:p>
        </w:tc>
        <w:tc>
          <w:tcPr>
            <w:tcW w:w="521" w:type="dxa"/>
            <w:noWrap w:val="0"/>
            <w:tcMar>
              <w:left w:w="108" w:type="dxa"/>
              <w:right w:w="108" w:type="dxa"/>
            </w:tcMar>
            <w:vAlign w:val="center"/>
          </w:tcPr>
          <w:p>
            <w:pP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其他</w:t>
            </w:r>
          </w:p>
        </w:tc>
        <w:tc>
          <w:tcPr>
            <w:tcW w:w="510"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4792" w:type="dxa"/>
            <w:gridSpan w:val="3"/>
            <w:noWrap w:val="0"/>
            <w:tcMar>
              <w:left w:w="108" w:type="dxa"/>
              <w:right w:w="108" w:type="dxa"/>
            </w:tcMar>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一、本年新收政府信息公开申请数量</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4792" w:type="dxa"/>
            <w:gridSpan w:val="3"/>
            <w:noWrap w:val="0"/>
            <w:tcMar>
              <w:left w:w="108" w:type="dxa"/>
              <w:right w:w="108" w:type="dxa"/>
            </w:tcMar>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二、上年结转政府信息公开申请数量</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restart"/>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三、本年度办理结果</w:t>
            </w:r>
          </w:p>
        </w:tc>
        <w:tc>
          <w:tcPr>
            <w:tcW w:w="4036" w:type="dxa"/>
            <w:gridSpan w:val="2"/>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（一）予以公开</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8"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4036" w:type="dxa"/>
            <w:gridSpan w:val="2"/>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（二）部分公开（区分处理的，只计这一情形，不计其他情形）</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restart"/>
            <w:noWrap w:val="0"/>
            <w:tcMar>
              <w:left w:w="108" w:type="dxa"/>
              <w:right w:w="108" w:type="dxa"/>
            </w:tcMar>
            <w:vAlign w:val="center"/>
          </w:tcPr>
          <w:p>
            <w:pPr>
              <w:numPr>
                <w:ilvl w:val="0"/>
                <w:numId w:val="1"/>
              </w:numPr>
              <w:jc w:val="center"/>
              <w:rPr>
                <w:rFonts w:hint="default" w:ascii="Times New Roman" w:hAnsi="Times New Roman" w:eastAsia="宋体" w:cs="Times New Roman"/>
                <w:vanish w:val="0"/>
                <w:spacing w:val="-11"/>
                <w:w w:val="100"/>
                <w:sz w:val="24"/>
                <w:szCs w:val="24"/>
                <w:u w:val="none"/>
              </w:rPr>
            </w:pPr>
          </w:p>
          <w:p>
            <w:pPr>
              <w:numPr>
                <w:ilvl w:val="0"/>
                <w:numId w:val="0"/>
              </w:numPr>
              <w:jc w:val="center"/>
              <w:rPr>
                <w:rFonts w:hint="default" w:ascii="Times New Roman" w:hAnsi="Times New Roman" w:eastAsia="宋体" w:cs="Times New Roman"/>
                <w:vanish w:val="0"/>
                <w:spacing w:val="-11"/>
                <w:w w:val="100"/>
                <w:sz w:val="24"/>
                <w:szCs w:val="24"/>
                <w:u w:val="none"/>
              </w:rPr>
            </w:pPr>
            <w:r>
              <w:rPr>
                <w:rFonts w:hint="default" w:ascii="Times New Roman" w:hAnsi="Times New Roman" w:eastAsia="宋体" w:cs="Times New Roman"/>
                <w:vanish w:val="0"/>
                <w:spacing w:val="-11"/>
                <w:w w:val="100"/>
                <w:sz w:val="24"/>
                <w:szCs w:val="24"/>
                <w:u w:val="none"/>
              </w:rPr>
              <w:t>不予</w:t>
            </w:r>
          </w:p>
          <w:p>
            <w:pPr>
              <w:numPr>
                <w:ilvl w:val="0"/>
                <w:numId w:val="0"/>
              </w:numPr>
              <w:jc w:val="center"/>
              <w:rPr>
                <w:rFonts w:hint="default" w:ascii="Times New Roman" w:hAnsi="Times New Roman" w:eastAsia="宋体" w:cs="Times New Roman"/>
                <w:sz w:val="24"/>
                <w:szCs w:val="24"/>
              </w:rPr>
            </w:pPr>
            <w:r>
              <w:rPr>
                <w:rFonts w:hint="default" w:ascii="Times New Roman" w:hAnsi="Times New Roman" w:eastAsia="宋体" w:cs="Times New Roman"/>
                <w:vanish w:val="0"/>
                <w:spacing w:val="-11"/>
                <w:w w:val="100"/>
                <w:sz w:val="24"/>
                <w:szCs w:val="24"/>
                <w:u w:val="none"/>
              </w:rPr>
              <w:t>公开</w:t>
            </w: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1.属于国家秘密</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9"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noWrap w:val="0"/>
            <w:tcMar>
              <w:left w:w="108" w:type="dxa"/>
              <w:right w:w="108" w:type="dxa"/>
            </w:tcMar>
            <w:vAlign w:val="center"/>
          </w:tcPr>
          <w:p>
            <w:pPr>
              <w:jc w:val="center"/>
              <w:rPr>
                <w:rFonts w:hint="default" w:ascii="Times New Roman" w:hAnsi="Times New Roman" w:eastAsia="宋体" w:cs="Times New Roman"/>
                <w:sz w:val="24"/>
                <w:szCs w:val="24"/>
              </w:rPr>
            </w:pP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2.其他法律行政法规禁止公开</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noWrap w:val="0"/>
            <w:tcMar>
              <w:left w:w="108" w:type="dxa"/>
              <w:right w:w="108" w:type="dxa"/>
            </w:tcMar>
            <w:vAlign w:val="center"/>
          </w:tcPr>
          <w:p>
            <w:pPr>
              <w:jc w:val="center"/>
              <w:rPr>
                <w:rFonts w:hint="default" w:ascii="Times New Roman" w:hAnsi="Times New Roman" w:eastAsia="宋体" w:cs="Times New Roman"/>
                <w:sz w:val="24"/>
                <w:szCs w:val="24"/>
              </w:rPr>
            </w:pP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3.危及“三安全一稳定”</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noWrap w:val="0"/>
            <w:tcMar>
              <w:left w:w="108" w:type="dxa"/>
              <w:right w:w="108" w:type="dxa"/>
            </w:tcMar>
            <w:vAlign w:val="center"/>
          </w:tcPr>
          <w:p>
            <w:pPr>
              <w:jc w:val="center"/>
              <w:rPr>
                <w:rFonts w:hint="default" w:ascii="Times New Roman" w:hAnsi="Times New Roman" w:eastAsia="宋体" w:cs="Times New Roman"/>
                <w:sz w:val="24"/>
                <w:szCs w:val="24"/>
              </w:rPr>
            </w:pP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4.保护第三方合法权益</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noWrap w:val="0"/>
            <w:tcMar>
              <w:left w:w="108" w:type="dxa"/>
              <w:right w:w="108" w:type="dxa"/>
            </w:tcMar>
            <w:vAlign w:val="center"/>
          </w:tcPr>
          <w:p>
            <w:pPr>
              <w:jc w:val="center"/>
              <w:rPr>
                <w:rFonts w:hint="default" w:ascii="Times New Roman" w:hAnsi="Times New Roman" w:eastAsia="宋体" w:cs="Times New Roman"/>
                <w:sz w:val="24"/>
                <w:szCs w:val="24"/>
              </w:rPr>
            </w:pP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5.属于三类内部事务信息</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noWrap w:val="0"/>
            <w:tcMar>
              <w:left w:w="108" w:type="dxa"/>
              <w:right w:w="108" w:type="dxa"/>
            </w:tcMar>
            <w:vAlign w:val="center"/>
          </w:tcPr>
          <w:p>
            <w:pPr>
              <w:jc w:val="center"/>
              <w:rPr>
                <w:rFonts w:hint="default" w:ascii="Times New Roman" w:hAnsi="Times New Roman" w:eastAsia="宋体" w:cs="Times New Roman"/>
                <w:sz w:val="24"/>
                <w:szCs w:val="24"/>
              </w:rPr>
            </w:pP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6.属于四类过程性信息</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noWrap w:val="0"/>
            <w:tcMar>
              <w:left w:w="108" w:type="dxa"/>
              <w:right w:w="108" w:type="dxa"/>
            </w:tcMar>
            <w:vAlign w:val="center"/>
          </w:tcPr>
          <w:p>
            <w:pPr>
              <w:jc w:val="center"/>
              <w:rPr>
                <w:rFonts w:hint="default" w:ascii="Times New Roman" w:hAnsi="Times New Roman" w:eastAsia="宋体" w:cs="Times New Roman"/>
                <w:sz w:val="24"/>
                <w:szCs w:val="24"/>
              </w:rPr>
            </w:pP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7.属于行政执法案卷</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noWrap w:val="0"/>
            <w:tcMar>
              <w:left w:w="108" w:type="dxa"/>
              <w:right w:w="108" w:type="dxa"/>
            </w:tcMar>
            <w:vAlign w:val="center"/>
          </w:tcPr>
          <w:p>
            <w:pPr>
              <w:jc w:val="center"/>
              <w:rPr>
                <w:rFonts w:hint="default" w:ascii="Times New Roman" w:hAnsi="Times New Roman" w:eastAsia="宋体" w:cs="Times New Roman"/>
                <w:sz w:val="24"/>
                <w:szCs w:val="24"/>
              </w:rPr>
            </w:pP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8.属于行政查询事项</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6"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restart"/>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（四）无法</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w:t>
            </w: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1.本机关不掌握相关政府信息</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5"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noWrap w:val="0"/>
            <w:tcMar>
              <w:left w:w="108" w:type="dxa"/>
              <w:right w:w="108" w:type="dxa"/>
            </w:tcMar>
            <w:vAlign w:val="center"/>
          </w:tcPr>
          <w:p>
            <w:pPr>
              <w:jc w:val="center"/>
              <w:rPr>
                <w:rFonts w:hint="default" w:ascii="Times New Roman" w:hAnsi="Times New Roman" w:eastAsia="宋体" w:cs="Times New Roman"/>
                <w:sz w:val="24"/>
                <w:szCs w:val="24"/>
              </w:rPr>
            </w:pP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2.没有现成信息需要另行制作</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noWrap w:val="0"/>
            <w:tcMar>
              <w:left w:w="108" w:type="dxa"/>
              <w:right w:w="108" w:type="dxa"/>
            </w:tcMar>
            <w:vAlign w:val="center"/>
          </w:tcPr>
          <w:p>
            <w:pPr>
              <w:jc w:val="center"/>
              <w:rPr>
                <w:rFonts w:hint="default" w:ascii="Times New Roman" w:hAnsi="Times New Roman" w:eastAsia="宋体" w:cs="Times New Roman"/>
                <w:sz w:val="24"/>
                <w:szCs w:val="24"/>
              </w:rPr>
            </w:pP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pacing w:val="-6"/>
                <w:sz w:val="24"/>
                <w:szCs w:val="24"/>
              </w:rPr>
              <w:t>补正后申请内容仍不明确</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restart"/>
            <w:noWrap w:val="0"/>
            <w:tcMar>
              <w:left w:w="108" w:type="dxa"/>
              <w:right w:w="108" w:type="dxa"/>
            </w:tcMar>
            <w:vAlign w:val="center"/>
          </w:tcPr>
          <w:p>
            <w:pPr>
              <w:numPr>
                <w:ilvl w:val="0"/>
                <w:numId w:val="0"/>
              </w:numPr>
              <w:ind w:left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（五）</w:t>
            </w:r>
          </w:p>
          <w:p>
            <w:pPr>
              <w:numPr>
                <w:ilvl w:val="0"/>
                <w:numId w:val="0"/>
              </w:numPr>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不予</w:t>
            </w:r>
          </w:p>
          <w:p>
            <w:pPr>
              <w:numPr>
                <w:ilvl w:val="0"/>
                <w:numId w:val="0"/>
              </w:numPr>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处理</w:t>
            </w: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1.信访举报投诉类申请</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2.重复申请</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3.要求提供公开出版物</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3017" w:type="dxa"/>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vanish w:val="0"/>
                <w:spacing w:val="-6"/>
                <w:w w:val="100"/>
                <w:sz w:val="24"/>
                <w:szCs w:val="24"/>
                <w:u w:val="none"/>
              </w:rPr>
              <w:t>无正当理由大量反复申请</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7" w:hRule="atLeast"/>
          <w:jc w:val="center"/>
        </w:trPr>
        <w:tc>
          <w:tcPr>
            <w:tcW w:w="756" w:type="dxa"/>
            <w:vMerge w:val="continue"/>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tcBorders>
              <w:bottom w:val="single" w:color="auto" w:sz="4" w:space="0"/>
            </w:tcBorders>
            <w:noWrap w:val="0"/>
            <w:tcMar>
              <w:left w:w="108" w:type="dxa"/>
              <w:right w:w="108" w:type="dxa"/>
            </w:tcMar>
            <w:vAlign w:val="center"/>
          </w:tcPr>
          <w:p>
            <w:pPr>
              <w:rPr>
                <w:rFonts w:hint="default" w:ascii="Times New Roman" w:hAnsi="Times New Roman" w:eastAsia="宋体" w:cs="Times New Roman"/>
                <w:sz w:val="24"/>
                <w:szCs w:val="24"/>
              </w:rPr>
            </w:pPr>
          </w:p>
        </w:tc>
        <w:tc>
          <w:tcPr>
            <w:tcW w:w="3017" w:type="dxa"/>
            <w:tcBorders>
              <w:bottom w:val="single" w:color="auto" w:sz="4" w:space="0"/>
            </w:tcBorders>
            <w:noWrap w:val="0"/>
            <w:tcMar>
              <w:left w:w="108" w:type="dxa"/>
              <w:right w:w="108" w:type="dxa"/>
            </w:tcMar>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5.要求行政机关确认或重新出具已获取信息</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99" w:hRule="atLeast"/>
          <w:jc w:val="center"/>
        </w:trPr>
        <w:tc>
          <w:tcPr>
            <w:tcW w:w="756" w:type="dxa"/>
            <w:vMerge w:val="restart"/>
            <w:tcBorders>
              <w:right w:val="single" w:color="auto" w:sz="4" w:space="0"/>
            </w:tcBorders>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黑体" w:cs="Times New Roman"/>
                <w:sz w:val="24"/>
                <w:szCs w:val="24"/>
              </w:rPr>
              <w:t>三、本年度办理结果</w:t>
            </w:r>
          </w:p>
        </w:tc>
        <w:tc>
          <w:tcPr>
            <w:tcW w:w="1019" w:type="dxa"/>
            <w:vMerge w:val="restart"/>
            <w:tcBorders>
              <w:top w:val="single" w:color="auto" w:sz="4" w:space="0"/>
              <w:left w:val="single" w:color="auto" w:sz="4" w:space="0"/>
              <w:right w:val="single" w:color="auto" w:sz="4" w:space="0"/>
            </w:tcBorders>
            <w:noWrap w:val="0"/>
            <w:tcMar>
              <w:left w:w="108" w:type="dxa"/>
              <w:right w:w="108" w:type="dxa"/>
            </w:tcMar>
            <w:vAlign w:val="center"/>
          </w:tcPr>
          <w:p>
            <w:pPr>
              <w:numPr>
                <w:ilvl w:val="0"/>
                <w:numId w:val="0"/>
              </w:numPr>
              <w:ind w:leftChars="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（六）</w:t>
            </w:r>
          </w:p>
          <w:p>
            <w:pPr>
              <w:numPr>
                <w:ilvl w:val="0"/>
                <w:numId w:val="0"/>
              </w:numPr>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w:t>
            </w:r>
          </w:p>
          <w:p>
            <w:pPr>
              <w:numPr>
                <w:ilvl w:val="0"/>
                <w:numId w:val="0"/>
              </w:numPr>
              <w:ind w:left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处理</w:t>
            </w:r>
          </w:p>
        </w:tc>
        <w:tc>
          <w:tcPr>
            <w:tcW w:w="3017" w:type="dxa"/>
            <w:tcBorders>
              <w:top w:val="single" w:color="auto" w:sz="4" w:space="0"/>
              <w:left w:val="single" w:color="auto" w:sz="4" w:space="0"/>
              <w:right w:val="single" w:color="auto" w:sz="4" w:space="0"/>
            </w:tcBorders>
            <w:noWrap w:val="0"/>
            <w:tcMar>
              <w:left w:w="108" w:type="dxa"/>
              <w:right w:w="108" w:type="dxa"/>
            </w:tcMar>
            <w:vAlign w:val="center"/>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1.申请人无正当理由逾期不补正、行政机关不再处理其政府信息公开申请</w:t>
            </w:r>
          </w:p>
        </w:tc>
        <w:tc>
          <w:tcPr>
            <w:tcW w:w="497" w:type="dxa"/>
            <w:tcBorders>
              <w:left w:val="single" w:color="auto" w:sz="4" w:space="0"/>
            </w:tcBorders>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88" w:hRule="atLeast"/>
          <w:jc w:val="center"/>
        </w:trPr>
        <w:tc>
          <w:tcPr>
            <w:tcW w:w="756" w:type="dxa"/>
            <w:vMerge w:val="continue"/>
            <w:tcBorders>
              <w:right w:val="single" w:color="auto" w:sz="4" w:space="0"/>
            </w:tcBorders>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tcBorders>
              <w:left w:val="single" w:color="auto" w:sz="4" w:space="0"/>
              <w:right w:val="single" w:color="auto" w:sz="4" w:space="0"/>
            </w:tcBorders>
            <w:noWrap w:val="0"/>
            <w:tcMar>
              <w:left w:w="108" w:type="dxa"/>
              <w:right w:w="108" w:type="dxa"/>
            </w:tcMar>
            <w:vAlign w:val="center"/>
          </w:tcPr>
          <w:p>
            <w:pPr>
              <w:rPr>
                <w:rFonts w:hint="default" w:ascii="Times New Roman" w:hAnsi="Times New Roman" w:eastAsia="宋体" w:cs="Times New Roman"/>
                <w:sz w:val="24"/>
                <w:szCs w:val="24"/>
              </w:rPr>
            </w:pPr>
          </w:p>
        </w:tc>
        <w:tc>
          <w:tcPr>
            <w:tcW w:w="3017" w:type="dxa"/>
            <w:tcBorders>
              <w:left w:val="single" w:color="auto" w:sz="4" w:space="0"/>
              <w:right w:val="single" w:color="auto" w:sz="4" w:space="0"/>
            </w:tcBorders>
            <w:noWrap w:val="0"/>
            <w:tcMar>
              <w:left w:w="108" w:type="dxa"/>
              <w:right w:w="108" w:type="dxa"/>
            </w:tcMar>
            <w:vAlign w:val="center"/>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2.申请人逾期未按收费通知要求缴纳费用、行政机关不再处理其政府信息公开申请</w:t>
            </w:r>
          </w:p>
        </w:tc>
        <w:tc>
          <w:tcPr>
            <w:tcW w:w="497" w:type="dxa"/>
            <w:tcBorders>
              <w:left w:val="single" w:color="auto" w:sz="4" w:space="0"/>
            </w:tcBorders>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56" w:type="dxa"/>
            <w:vMerge w:val="continue"/>
            <w:tcBorders>
              <w:right w:val="single" w:color="auto" w:sz="4" w:space="0"/>
            </w:tcBorders>
            <w:noWrap w:val="0"/>
            <w:tcMar>
              <w:left w:w="108" w:type="dxa"/>
              <w:right w:w="108" w:type="dxa"/>
            </w:tcMar>
            <w:vAlign w:val="center"/>
          </w:tcPr>
          <w:p>
            <w:pPr>
              <w:rPr>
                <w:rFonts w:hint="default" w:ascii="Times New Roman" w:hAnsi="Times New Roman" w:eastAsia="宋体" w:cs="Times New Roman"/>
                <w:sz w:val="24"/>
                <w:szCs w:val="24"/>
              </w:rPr>
            </w:pPr>
          </w:p>
        </w:tc>
        <w:tc>
          <w:tcPr>
            <w:tcW w:w="1019" w:type="dxa"/>
            <w:vMerge w:val="continue"/>
            <w:tcBorders>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eastAsia="宋体" w:cs="Times New Roman"/>
                <w:sz w:val="24"/>
                <w:szCs w:val="24"/>
              </w:rPr>
            </w:pPr>
          </w:p>
        </w:tc>
        <w:tc>
          <w:tcPr>
            <w:tcW w:w="3017" w:type="dxa"/>
            <w:tcBorders>
              <w:left w:val="single" w:color="auto" w:sz="4" w:space="0"/>
              <w:bottom w:val="single" w:color="auto" w:sz="4" w:space="0"/>
              <w:right w:val="single" w:color="auto" w:sz="4" w:space="0"/>
            </w:tcBorders>
            <w:noWrap w:val="0"/>
            <w:tcMar>
              <w:left w:w="108" w:type="dxa"/>
              <w:right w:w="108" w:type="dxa"/>
            </w:tcMar>
            <w:vAlign w:val="center"/>
          </w:tcPr>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3.其他</w:t>
            </w:r>
          </w:p>
        </w:tc>
        <w:tc>
          <w:tcPr>
            <w:tcW w:w="497" w:type="dxa"/>
            <w:tcBorders>
              <w:left w:val="single" w:color="auto" w:sz="4" w:space="0"/>
            </w:tcBorders>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756" w:type="dxa"/>
            <w:vMerge w:val="continue"/>
            <w:tcBorders>
              <w:right w:val="single" w:color="auto" w:sz="4" w:space="0"/>
            </w:tcBorders>
            <w:noWrap w:val="0"/>
            <w:tcMar>
              <w:left w:w="108" w:type="dxa"/>
              <w:right w:w="108" w:type="dxa"/>
            </w:tcMar>
            <w:vAlign w:val="center"/>
          </w:tcPr>
          <w:p>
            <w:pPr>
              <w:rPr>
                <w:rFonts w:hint="default" w:ascii="Times New Roman" w:hAnsi="Times New Roman" w:eastAsia="宋体" w:cs="Times New Roman"/>
                <w:sz w:val="24"/>
                <w:szCs w:val="24"/>
              </w:rPr>
            </w:pPr>
          </w:p>
        </w:tc>
        <w:tc>
          <w:tcPr>
            <w:tcW w:w="4036" w:type="dxa"/>
            <w:gridSpan w:val="2"/>
            <w:tcBorders>
              <w:top w:val="single" w:color="auto" w:sz="4" w:space="0"/>
            </w:tcBorders>
            <w:noWrap w:val="0"/>
            <w:tcMar>
              <w:left w:w="108" w:type="dxa"/>
              <w:right w:w="108" w:type="dxa"/>
            </w:tcMar>
            <w:vAlign w:val="center"/>
          </w:tcPr>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（七）总计</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jc w:val="center"/>
        </w:trPr>
        <w:tc>
          <w:tcPr>
            <w:tcW w:w="4792" w:type="dxa"/>
            <w:gridSpan w:val="3"/>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黑体" w:cs="Times New Roman"/>
                <w:sz w:val="24"/>
                <w:szCs w:val="24"/>
              </w:rPr>
              <w:t>四、结转下年度继续办理</w:t>
            </w:r>
          </w:p>
        </w:tc>
        <w:tc>
          <w:tcPr>
            <w:tcW w:w="497"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712"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21"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c>
          <w:tcPr>
            <w:tcW w:w="510" w:type="dxa"/>
            <w:noWrap w:val="0"/>
            <w:tcMar>
              <w:left w:w="108" w:type="dxa"/>
              <w:right w:w="108" w:type="dxa"/>
            </w:tcMar>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532"/>
        <w:gridCol w:w="549"/>
        <w:gridCol w:w="532"/>
        <w:gridCol w:w="605"/>
        <w:gridCol w:w="615"/>
        <w:gridCol w:w="565"/>
        <w:gridCol w:w="695"/>
        <w:gridCol w:w="598"/>
        <w:gridCol w:w="730"/>
        <w:gridCol w:w="695"/>
        <w:gridCol w:w="646"/>
        <w:gridCol w:w="646"/>
        <w:gridCol w:w="646"/>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757"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行政复议</w:t>
            </w:r>
          </w:p>
        </w:tc>
        <w:tc>
          <w:tcPr>
            <w:tcW w:w="6415" w:type="dxa"/>
            <w:gridSpan w:val="10"/>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539"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结果维持</w:t>
            </w:r>
          </w:p>
        </w:tc>
        <w:tc>
          <w:tcPr>
            <w:tcW w:w="53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结果纠正</w:t>
            </w:r>
          </w:p>
        </w:tc>
        <w:tc>
          <w:tcPr>
            <w:tcW w:w="549"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其他结果</w:t>
            </w:r>
          </w:p>
        </w:tc>
        <w:tc>
          <w:tcPr>
            <w:tcW w:w="532"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尚未审结</w:t>
            </w:r>
          </w:p>
        </w:tc>
        <w:tc>
          <w:tcPr>
            <w:tcW w:w="605"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计</w:t>
            </w:r>
          </w:p>
        </w:tc>
        <w:tc>
          <w:tcPr>
            <w:tcW w:w="3203"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未经复议直接起诉</w:t>
            </w:r>
          </w:p>
        </w:tc>
        <w:tc>
          <w:tcPr>
            <w:tcW w:w="3212"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0" w:hRule="atLeast"/>
          <w:jc w:val="center"/>
        </w:trPr>
        <w:tc>
          <w:tcPr>
            <w:tcW w:w="539" w:type="dxa"/>
            <w:vMerge w:val="continue"/>
            <w:tcBorders>
              <w:top w:val="nil"/>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p>
        </w:tc>
        <w:tc>
          <w:tcPr>
            <w:tcW w:w="53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p>
        </w:tc>
        <w:tc>
          <w:tcPr>
            <w:tcW w:w="549"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p>
        </w:tc>
        <w:tc>
          <w:tcPr>
            <w:tcW w:w="532"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p>
        </w:tc>
        <w:tc>
          <w:tcPr>
            <w:tcW w:w="605"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p>
        </w:tc>
        <w:tc>
          <w:tcPr>
            <w:tcW w:w="61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结果维持</w:t>
            </w:r>
          </w:p>
        </w:tc>
        <w:tc>
          <w:tcPr>
            <w:tcW w:w="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结果纠正</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其他结果</w:t>
            </w:r>
          </w:p>
        </w:tc>
        <w:tc>
          <w:tcPr>
            <w:tcW w:w="59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尚未审结</w:t>
            </w:r>
          </w:p>
        </w:tc>
        <w:tc>
          <w:tcPr>
            <w:tcW w:w="73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val="en-US" w:eastAsia="zh-CN" w:bidi="ar"/>
              </w:rPr>
            </w:pPr>
            <w:r>
              <w:rPr>
                <w:rFonts w:hint="default" w:ascii="Times New Roman" w:hAnsi="Times New Roman" w:eastAsia="黑体" w:cs="Times New Roman"/>
                <w:kern w:val="0"/>
                <w:sz w:val="24"/>
                <w:szCs w:val="24"/>
                <w:lang w:bidi="ar"/>
              </w:rPr>
              <w:t>总</w:t>
            </w:r>
            <w:r>
              <w:rPr>
                <w:rFonts w:hint="default" w:ascii="Times New Roman" w:hAnsi="Times New Roman" w:eastAsia="黑体" w:cs="Times New Roman"/>
                <w:kern w:val="0"/>
                <w:sz w:val="24"/>
                <w:szCs w:val="24"/>
                <w:lang w:val="en-US" w:eastAsia="zh-CN" w:bidi="ar"/>
              </w:rPr>
              <w:t xml:space="preserve"> </w:t>
            </w:r>
            <w:r>
              <w:rPr>
                <w:rFonts w:hint="default" w:ascii="Times New Roman" w:hAnsi="Times New Roman" w:eastAsia="黑体" w:cs="Times New Roman"/>
                <w:kern w:val="0"/>
                <w:sz w:val="24"/>
                <w:szCs w:val="24"/>
                <w:lang w:bidi="ar"/>
              </w:rPr>
              <w:t>计</w:t>
            </w:r>
            <w:r>
              <w:rPr>
                <w:rFonts w:hint="default" w:ascii="Times New Roman" w:hAnsi="Times New Roman" w:eastAsia="黑体" w:cs="Times New Roman"/>
                <w:kern w:val="0"/>
                <w:sz w:val="24"/>
                <w:szCs w:val="24"/>
                <w:lang w:val="en-US" w:eastAsia="zh-CN" w:bidi="ar"/>
              </w:rPr>
              <w:t xml:space="preserve">   </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结果维持</w:t>
            </w:r>
          </w:p>
        </w:tc>
        <w:tc>
          <w:tcPr>
            <w:tcW w:w="6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结果纠正</w:t>
            </w:r>
          </w:p>
        </w:tc>
        <w:tc>
          <w:tcPr>
            <w:tcW w:w="6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其他结果</w:t>
            </w:r>
          </w:p>
        </w:tc>
        <w:tc>
          <w:tcPr>
            <w:tcW w:w="6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尚未审结</w:t>
            </w:r>
          </w:p>
        </w:tc>
        <w:tc>
          <w:tcPr>
            <w:tcW w:w="57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4" w:hRule="atLeast"/>
          <w:jc w:val="center"/>
        </w:trPr>
        <w:tc>
          <w:tcPr>
            <w:tcW w:w="53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0</w:t>
            </w:r>
          </w:p>
        </w:tc>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54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532"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60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61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56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59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730"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695"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6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6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64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c>
          <w:tcPr>
            <w:tcW w:w="57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（一）存在的主要问题。</w:t>
      </w:r>
      <w:r>
        <w:rPr>
          <w:rFonts w:hint="default" w:ascii="Times New Roman" w:hAnsi="Times New Roman" w:eastAsia="仿宋_GB2312" w:cs="Times New Roman"/>
          <w:sz w:val="32"/>
          <w:szCs w:val="32"/>
          <w:lang w:val="en-US" w:eastAsia="zh-CN"/>
        </w:rPr>
        <w:t>一是主动公开的时效性有待提升，主动公开财政政策、工作动态、进展情况的意识不够强、时效性不够高。二是公开内容的精准度把握不到位，信息公开的类型和内容覆盖不够全面。三是政务公开形式较为单一，对公开形式重视还不够，政策解读的可读性、生动性有待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（二）改进措施。</w:t>
      </w:r>
      <w:r>
        <w:rPr>
          <w:rFonts w:hint="default" w:ascii="Times New Roman" w:hAnsi="Times New Roman" w:eastAsia="仿宋_GB2312" w:cs="Times New Roman"/>
          <w:sz w:val="32"/>
          <w:szCs w:val="32"/>
          <w:lang w:val="en-US" w:eastAsia="zh-CN"/>
        </w:rPr>
        <w:t>一是进一步充实政务公开内容。扎实做好政府预决算信息、部门预决算信息、政府采购、减税降费、监督检查结果等重点领域信息公开等工作。二是进一步优化政务公开方式。加强运用图文漫画、短视频等形式开展多元化解读。三是进一步打造政务公开亮点。立足财政职能，结合县委、县政府中心工作和重点工作，积极谋划打造政务公开工作新亮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额敏县财政局按照《国务院办公厅关于印发&lt;政府信息公开信息处理费管理办法&gt;的通知》（国办函〔2020〕109号）规定的按件、按量收费标准，本年度没有产生信息公开处理费。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额敏县财政局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2025年2月13日</w:t>
      </w:r>
    </w:p>
    <w:sectPr>
      <w:footerReference r:id="rId3" w:type="default"/>
      <w:pgSz w:w="11906" w:h="16838"/>
      <w:pgMar w:top="2098" w:right="1474" w:bottom="1984"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16BC5"/>
    <w:multiLevelType w:val="singleLevel"/>
    <w:tmpl w:val="47316BC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F2EB3"/>
    <w:rsid w:val="02591725"/>
    <w:rsid w:val="0A3D6A1A"/>
    <w:rsid w:val="0AB30DC5"/>
    <w:rsid w:val="11A73371"/>
    <w:rsid w:val="1B324F32"/>
    <w:rsid w:val="3B572656"/>
    <w:rsid w:val="3D94083B"/>
    <w:rsid w:val="3F4F25D5"/>
    <w:rsid w:val="4091262C"/>
    <w:rsid w:val="4967218D"/>
    <w:rsid w:val="4F212605"/>
    <w:rsid w:val="50E33C18"/>
    <w:rsid w:val="591659D5"/>
    <w:rsid w:val="5C2B768E"/>
    <w:rsid w:val="5D8A663B"/>
    <w:rsid w:val="6A0C25BD"/>
    <w:rsid w:val="6B473294"/>
    <w:rsid w:val="6E5163A8"/>
    <w:rsid w:val="71B06FF4"/>
    <w:rsid w:val="75B449A3"/>
    <w:rsid w:val="77050AE3"/>
    <w:rsid w:val="7978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2023-11-15T03:22:00Z</dcterms:created>
  <dc:creator>Administrator</dc:creator>
  <cp:lastModifiedBy>Administrator</cp:lastModifiedBy>
  <cp:lastPrinted>2025-02-17T02:04:00Z</cp:lastPrinted>
  <dcterms:modified xsi:type="dcterms:W3CDTF">2025-02-18T09:23:50Z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C20AF7A3E19D461DAB2637616E3A75C1</vt:lpwstr>
  </property>
</Properties>
</file>