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color w:val="auto"/>
          <w:sz w:val="44"/>
          <w:szCs w:val="44"/>
          <w:shd w:val="clear" w:color="auto" w:fill="auto"/>
        </w:rPr>
      </w:pPr>
      <w:r>
        <w:rPr>
          <w:rFonts w:hint="eastAsia" w:ascii="方正小标宋简体" w:hAnsi="方正小标宋简体" w:eastAsia="方正小标宋简体" w:cs="方正小标宋简体"/>
          <w:b w:val="0"/>
          <w:bCs w:val="0"/>
          <w:color w:val="auto"/>
          <w:sz w:val="44"/>
          <w:szCs w:val="44"/>
          <w:shd w:val="clear" w:color="auto" w:fill="auto"/>
          <w:lang w:val="en-US" w:eastAsia="zh-CN"/>
        </w:rPr>
        <w:t>额敏县</w:t>
      </w:r>
      <w:bookmarkStart w:id="0" w:name="_GoBack"/>
      <w:bookmarkEnd w:id="0"/>
      <w:r>
        <w:rPr>
          <w:rFonts w:hint="eastAsia" w:ascii="方正小标宋简体" w:hAnsi="方正小标宋简体" w:eastAsia="方正小标宋简体" w:cs="方正小标宋简体"/>
          <w:b w:val="0"/>
          <w:bCs w:val="0"/>
          <w:color w:val="auto"/>
          <w:sz w:val="44"/>
          <w:szCs w:val="44"/>
          <w:shd w:val="clear" w:color="auto" w:fill="auto"/>
          <w:lang w:val="en-US" w:eastAsia="zh-CN"/>
        </w:rPr>
        <w:t>玛热勒苏镇2024年</w:t>
      </w:r>
      <w:r>
        <w:rPr>
          <w:rFonts w:hint="eastAsia" w:ascii="方正小标宋简体" w:hAnsi="方正小标宋简体" w:eastAsia="方正小标宋简体" w:cs="方正小标宋简体"/>
          <w:b w:val="0"/>
          <w:bCs w:val="0"/>
          <w:color w:val="auto"/>
          <w:sz w:val="44"/>
          <w:szCs w:val="44"/>
          <w:shd w:val="clear" w:color="auto" w:fill="auto"/>
        </w:rPr>
        <w:t>政府信息公开工作年度报告</w:t>
      </w:r>
    </w:p>
    <w:p>
      <w:pPr>
        <w:keepNext w:val="0"/>
        <w:keepLines w:val="0"/>
        <w:pageBreakBefore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shd w:val="clear" w:color="auto" w:fill="auto"/>
          <w:lang w:eastAsia="zh-CN"/>
        </w:rPr>
      </w:pPr>
    </w:p>
    <w:p>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仿宋_GB2312" w:hAnsi="仿宋_GB2312" w:eastAsia="仿宋_GB2312" w:cs="仿宋_GB2312"/>
          <w:i w:val="0"/>
          <w:caps w:val="0"/>
          <w:color w:val="auto"/>
          <w:spacing w:val="0"/>
          <w:sz w:val="32"/>
          <w:szCs w:val="32"/>
          <w:shd w:val="clear" w:color="auto" w:fill="auto"/>
          <w:lang w:val="en-US" w:eastAsia="zh-CN"/>
        </w:rPr>
        <w:t>本报告</w:t>
      </w:r>
      <w:r>
        <w:rPr>
          <w:rFonts w:hint="eastAsia" w:ascii="仿宋_GB2312" w:hAnsi="仿宋_GB2312" w:eastAsia="仿宋_GB2312" w:cs="仿宋_GB2312"/>
          <w:i w:val="0"/>
          <w:caps w:val="0"/>
          <w:color w:val="auto"/>
          <w:spacing w:val="0"/>
          <w:sz w:val="32"/>
          <w:szCs w:val="32"/>
          <w:shd w:val="clear" w:color="auto" w:fill="auto"/>
        </w:rPr>
        <w:t>根据《中华人民共和国政府信息公开条例》</w:t>
      </w:r>
      <w:r>
        <w:rPr>
          <w:rFonts w:hint="eastAsia" w:ascii="仿宋_GB2312" w:hAnsi="仿宋_GB2312" w:eastAsia="仿宋_GB2312" w:cs="仿宋_GB2312"/>
          <w:i w:val="0"/>
          <w:caps w:val="0"/>
          <w:color w:val="auto"/>
          <w:spacing w:val="0"/>
          <w:sz w:val="32"/>
          <w:szCs w:val="32"/>
          <w:shd w:val="clear" w:color="auto" w:fill="auto"/>
          <w:lang w:eastAsia="zh-CN"/>
        </w:rPr>
        <w:t>（</w:t>
      </w:r>
      <w:r>
        <w:rPr>
          <w:rFonts w:hint="eastAsia" w:ascii="仿宋_GB2312" w:hAnsi="仿宋_GB2312" w:eastAsia="仿宋_GB2312" w:cs="仿宋_GB2312"/>
          <w:i w:val="0"/>
          <w:caps w:val="0"/>
          <w:color w:val="auto"/>
          <w:spacing w:val="0"/>
          <w:sz w:val="32"/>
          <w:szCs w:val="32"/>
          <w:shd w:val="clear" w:color="auto" w:fill="auto"/>
          <w:lang w:val="en-US" w:eastAsia="zh-CN"/>
        </w:rPr>
        <w:t>国务院令第711号</w:t>
      </w:r>
      <w:r>
        <w:rPr>
          <w:rFonts w:hint="eastAsia" w:ascii="仿宋_GB2312" w:hAnsi="仿宋_GB2312" w:eastAsia="仿宋_GB2312" w:cs="仿宋_GB2312"/>
          <w:i w:val="0"/>
          <w:caps w:val="0"/>
          <w:color w:val="auto"/>
          <w:spacing w:val="0"/>
          <w:sz w:val="32"/>
          <w:szCs w:val="32"/>
          <w:shd w:val="clear" w:color="auto" w:fill="auto"/>
          <w:lang w:eastAsia="zh-CN"/>
        </w:rPr>
        <w:t>）、《</w:t>
      </w:r>
      <w:r>
        <w:rPr>
          <w:rFonts w:hint="eastAsia" w:ascii="仿宋_GB2312" w:hAnsi="仿宋_GB2312" w:eastAsia="仿宋_GB2312" w:cs="仿宋_GB2312"/>
          <w:i w:val="0"/>
          <w:caps w:val="0"/>
          <w:color w:val="auto"/>
          <w:spacing w:val="0"/>
          <w:sz w:val="32"/>
          <w:szCs w:val="32"/>
          <w:shd w:val="clear" w:color="auto" w:fill="auto"/>
          <w:lang w:val="en-US" w:eastAsia="zh-CN"/>
        </w:rPr>
        <w:t>关于印发&lt;中华人民共和国政府信息公开工作年度报告格式&gt;的通知</w:t>
      </w:r>
      <w:r>
        <w:rPr>
          <w:rFonts w:hint="eastAsia" w:ascii="仿宋_GB2312" w:hAnsi="仿宋_GB2312" w:eastAsia="仿宋_GB2312" w:cs="仿宋_GB2312"/>
          <w:i w:val="0"/>
          <w:caps w:val="0"/>
          <w:color w:val="auto"/>
          <w:spacing w:val="0"/>
          <w:sz w:val="32"/>
          <w:szCs w:val="32"/>
          <w:shd w:val="clear" w:color="auto" w:fill="auto"/>
          <w:lang w:eastAsia="zh-CN"/>
        </w:rPr>
        <w:t>》（</w:t>
      </w:r>
      <w:r>
        <w:rPr>
          <w:rFonts w:hint="eastAsia" w:ascii="仿宋_GB2312" w:hAnsi="仿宋_GB2312" w:eastAsia="仿宋_GB2312" w:cs="仿宋_GB2312"/>
          <w:i w:val="0"/>
          <w:caps w:val="0"/>
          <w:color w:val="auto"/>
          <w:spacing w:val="0"/>
          <w:sz w:val="32"/>
          <w:szCs w:val="32"/>
          <w:shd w:val="clear" w:color="auto" w:fill="auto"/>
          <w:lang w:val="en-US" w:eastAsia="zh-CN"/>
        </w:rPr>
        <w:t>国办公开办函〔2021〕30号</w:t>
      </w:r>
      <w:r>
        <w:rPr>
          <w:rFonts w:hint="eastAsia" w:ascii="仿宋_GB2312" w:hAnsi="仿宋_GB2312" w:eastAsia="仿宋_GB2312" w:cs="仿宋_GB2312"/>
          <w:i w:val="0"/>
          <w:caps w:val="0"/>
          <w:color w:val="auto"/>
          <w:spacing w:val="0"/>
          <w:sz w:val="32"/>
          <w:szCs w:val="32"/>
          <w:shd w:val="clear" w:color="auto" w:fill="auto"/>
          <w:lang w:eastAsia="zh-CN"/>
        </w:rPr>
        <w:t>）、</w:t>
      </w:r>
      <w:r>
        <w:rPr>
          <w:rFonts w:hint="eastAsia" w:ascii="仿宋_GB2312" w:hAnsi="仿宋_GB2312" w:eastAsia="仿宋_GB2312" w:cs="仿宋_GB2312"/>
          <w:i w:val="0"/>
          <w:caps w:val="0"/>
          <w:color w:val="auto"/>
          <w:spacing w:val="0"/>
          <w:sz w:val="32"/>
          <w:szCs w:val="32"/>
          <w:shd w:val="clear" w:color="auto" w:fill="auto"/>
          <w:lang w:val="en-US" w:eastAsia="zh-CN"/>
        </w:rPr>
        <w:t>地区《关于做好2024年度政府信息公开工作年度报告编制发布工作的通知》要求编制</w:t>
      </w:r>
      <w:r>
        <w:rPr>
          <w:rFonts w:hint="eastAsia" w:ascii="仿宋_GB2312" w:hAnsi="仿宋_GB2312" w:eastAsia="仿宋_GB2312" w:cs="仿宋_GB2312"/>
          <w:i w:val="0"/>
          <w:caps w:val="0"/>
          <w:color w:val="auto"/>
          <w:spacing w:val="0"/>
          <w:sz w:val="32"/>
          <w:szCs w:val="32"/>
          <w:shd w:val="clear" w:color="auto" w:fill="auto"/>
        </w:rPr>
        <w:t>，</w:t>
      </w:r>
      <w:r>
        <w:rPr>
          <w:rFonts w:hint="eastAsia" w:ascii="仿宋_GB2312" w:hAnsi="仿宋_GB2312" w:eastAsia="仿宋_GB2312" w:cs="仿宋_GB2312"/>
          <w:i w:val="0"/>
          <w:caps w:val="0"/>
          <w:color w:val="auto"/>
          <w:spacing w:val="0"/>
          <w:sz w:val="32"/>
          <w:szCs w:val="32"/>
          <w:shd w:val="clear" w:color="auto" w:fill="auto"/>
          <w:lang w:val="en-US" w:eastAsia="zh-CN"/>
        </w:rPr>
        <w:t>报告全文包括总体情况、主动公开政府信息情况、收到和处理政府信息公开申请情况、因政府信息公开工作被申请行政复议和提起行政诉讼情况、政府信息公开工作存在的主要问题及改进情况，以及其他需要报告的事项六个部分。报告统计期限为2024年1月1日至2024年12月31日。如对本报告有疑问，请与玛热勒苏镇人民政府办公室联系（地址：额敏县玛热勒苏镇099号；邮编：834613；电话及传真：0901-3833911）。</w:t>
      </w:r>
    </w:p>
    <w:p>
      <w:pPr>
        <w:pStyle w:val="3"/>
        <w:keepNext w:val="0"/>
        <w:keepLines w:val="0"/>
        <w:pageBreakBefore w:val="0"/>
        <w:widowControl/>
        <w:numPr>
          <w:ilvl w:val="0"/>
          <w:numId w:val="1"/>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黑体" w:hAnsi="黑体" w:eastAsia="黑体" w:cs="宋体"/>
          <w:color w:val="auto"/>
          <w:sz w:val="32"/>
          <w:szCs w:val="32"/>
          <w:shd w:val="clear" w:color="auto" w:fill="auto"/>
        </w:rPr>
      </w:pPr>
      <w:r>
        <w:rPr>
          <w:rFonts w:hint="eastAsia" w:ascii="黑体" w:hAnsi="黑体" w:eastAsia="黑体" w:cs="宋体"/>
          <w:color w:val="auto"/>
          <w:sz w:val="32"/>
          <w:szCs w:val="32"/>
          <w:shd w:val="clear" w:color="auto" w:fill="auto"/>
        </w:rPr>
        <w:t>总体情况</w:t>
      </w:r>
    </w:p>
    <w:p>
      <w:pPr>
        <w:pStyle w:val="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color w:val="auto"/>
          <w:sz w:val="32"/>
          <w:szCs w:val="32"/>
          <w:shd w:val="clear" w:color="auto" w:fill="auto"/>
        </w:rPr>
      </w:pPr>
      <w:r>
        <w:rPr>
          <w:rFonts w:hint="eastAsia" w:ascii="仿宋_GB2312" w:hAnsi="仿宋_GB2312" w:eastAsia="仿宋_GB2312" w:cs="仿宋_GB2312"/>
          <w:color w:val="auto"/>
          <w:sz w:val="32"/>
          <w:szCs w:val="32"/>
          <w:shd w:val="clear" w:color="auto" w:fill="auto"/>
        </w:rPr>
        <w:t>2024年</w:t>
      </w:r>
      <w:r>
        <w:rPr>
          <w:rFonts w:hint="eastAsia" w:ascii="仿宋_GB2312" w:hAnsi="仿宋_GB2312" w:eastAsia="仿宋_GB2312" w:cs="仿宋_GB2312"/>
          <w:color w:val="auto"/>
          <w:sz w:val="32"/>
          <w:szCs w:val="32"/>
          <w:shd w:val="clear" w:color="auto" w:fill="auto"/>
          <w:lang w:eastAsia="zh-CN"/>
        </w:rPr>
        <w:t>，</w:t>
      </w:r>
      <w:r>
        <w:rPr>
          <w:rFonts w:hint="eastAsia" w:ascii="仿宋_GB2312" w:hAnsi="仿宋_GB2312" w:eastAsia="仿宋_GB2312" w:cs="仿宋_GB2312"/>
          <w:color w:val="auto"/>
          <w:sz w:val="32"/>
          <w:szCs w:val="32"/>
          <w:shd w:val="clear" w:color="auto" w:fill="auto"/>
          <w:lang w:val="en-US" w:eastAsia="zh-CN"/>
        </w:rPr>
        <w:t>玛热勒苏镇</w:t>
      </w:r>
      <w:r>
        <w:rPr>
          <w:rFonts w:hint="eastAsia" w:ascii="仿宋_GB2312" w:hAnsi="仿宋_GB2312" w:eastAsia="仿宋_GB2312" w:cs="仿宋_GB2312"/>
          <w:color w:val="auto"/>
          <w:sz w:val="32"/>
          <w:szCs w:val="32"/>
          <w:shd w:val="clear" w:color="auto" w:fill="auto"/>
        </w:rPr>
        <w:t>人民政府</w:t>
      </w:r>
      <w:r>
        <w:rPr>
          <w:rFonts w:hint="eastAsia" w:ascii="仿宋_GB2312" w:hAnsi="仿宋_GB2312" w:eastAsia="仿宋_GB2312" w:cs="仿宋_GB2312"/>
          <w:color w:val="auto"/>
          <w:sz w:val="32"/>
          <w:szCs w:val="32"/>
          <w:shd w:val="clear" w:color="auto" w:fill="auto"/>
          <w:lang w:val="en-US" w:eastAsia="zh-CN"/>
        </w:rPr>
        <w:t>坚持</w:t>
      </w:r>
      <w:r>
        <w:rPr>
          <w:rFonts w:hint="eastAsia" w:ascii="仿宋_GB2312" w:hAnsi="仿宋_GB2312" w:eastAsia="仿宋_GB2312" w:cs="仿宋_GB2312"/>
          <w:color w:val="auto"/>
          <w:sz w:val="32"/>
          <w:szCs w:val="32"/>
          <w:shd w:val="clear" w:color="auto" w:fill="auto"/>
        </w:rPr>
        <w:t>贯彻落实《中华人民共和国政府信息公开条例》，紧紧围绕</w:t>
      </w:r>
      <w:r>
        <w:rPr>
          <w:rFonts w:hint="eastAsia" w:ascii="仿宋_GB2312" w:hAnsi="仿宋_GB2312" w:eastAsia="仿宋_GB2312" w:cs="仿宋_GB2312"/>
          <w:color w:val="auto"/>
          <w:sz w:val="32"/>
          <w:szCs w:val="32"/>
          <w:shd w:val="clear" w:color="auto" w:fill="auto"/>
          <w:lang w:val="en-US" w:eastAsia="zh-CN"/>
        </w:rPr>
        <w:t>县</w:t>
      </w:r>
      <w:r>
        <w:rPr>
          <w:rFonts w:hint="eastAsia" w:ascii="仿宋_GB2312" w:hAnsi="仿宋_GB2312" w:eastAsia="仿宋_GB2312" w:cs="仿宋_GB2312"/>
          <w:color w:val="auto"/>
          <w:sz w:val="32"/>
          <w:szCs w:val="32"/>
          <w:shd w:val="clear" w:color="auto" w:fill="auto"/>
        </w:rPr>
        <w:t>委、</w:t>
      </w:r>
      <w:r>
        <w:rPr>
          <w:rFonts w:hint="eastAsia" w:ascii="仿宋_GB2312" w:hAnsi="仿宋_GB2312" w:eastAsia="仿宋_GB2312" w:cs="仿宋_GB2312"/>
          <w:color w:val="auto"/>
          <w:sz w:val="32"/>
          <w:szCs w:val="32"/>
          <w:shd w:val="clear" w:color="auto" w:fill="auto"/>
          <w:lang w:val="en-US" w:eastAsia="zh-CN"/>
        </w:rPr>
        <w:t>县</w:t>
      </w:r>
      <w:r>
        <w:rPr>
          <w:rFonts w:hint="eastAsia" w:ascii="仿宋_GB2312" w:hAnsi="仿宋_GB2312" w:eastAsia="仿宋_GB2312" w:cs="仿宋_GB2312"/>
          <w:color w:val="auto"/>
          <w:sz w:val="32"/>
          <w:szCs w:val="32"/>
          <w:shd w:val="clear" w:color="auto" w:fill="auto"/>
        </w:rPr>
        <w:t>政府重大决策部署，扎实推进各项工作有序开展，不断提升政务公开工作水平。现将2024年工作总结如下：</w:t>
      </w:r>
    </w:p>
    <w:p>
      <w:pPr>
        <w:pStyle w:val="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楷体" w:hAnsi="楷体" w:eastAsia="楷体" w:cs="楷体"/>
          <w:b/>
          <w:bCs/>
          <w:i w:val="0"/>
          <w:caps w:val="0"/>
          <w:color w:val="auto"/>
          <w:spacing w:val="0"/>
          <w:sz w:val="32"/>
          <w:szCs w:val="32"/>
          <w:shd w:val="clear" w:color="auto" w:fill="auto"/>
          <w:lang w:eastAsia="zh-CN"/>
        </w:rPr>
        <w:t>（</w:t>
      </w:r>
      <w:r>
        <w:rPr>
          <w:rFonts w:hint="eastAsia" w:ascii="楷体" w:hAnsi="楷体" w:eastAsia="楷体" w:cs="楷体"/>
          <w:b/>
          <w:bCs/>
          <w:i w:val="0"/>
          <w:caps w:val="0"/>
          <w:color w:val="auto"/>
          <w:spacing w:val="0"/>
          <w:sz w:val="32"/>
          <w:szCs w:val="32"/>
          <w:shd w:val="clear" w:color="auto" w:fill="auto"/>
          <w:lang w:val="en-US" w:eastAsia="zh-CN"/>
        </w:rPr>
        <w:t>一</w:t>
      </w:r>
      <w:r>
        <w:rPr>
          <w:rFonts w:hint="eastAsia" w:ascii="楷体" w:hAnsi="楷体" w:eastAsia="楷体" w:cs="楷体"/>
          <w:b/>
          <w:bCs/>
          <w:i w:val="0"/>
          <w:caps w:val="0"/>
          <w:color w:val="auto"/>
          <w:spacing w:val="0"/>
          <w:sz w:val="32"/>
          <w:szCs w:val="32"/>
          <w:shd w:val="clear" w:color="auto" w:fill="auto"/>
          <w:lang w:eastAsia="zh-CN"/>
        </w:rPr>
        <w:t>）</w:t>
      </w:r>
      <w:r>
        <w:rPr>
          <w:rFonts w:hint="eastAsia" w:ascii="楷体" w:hAnsi="楷体" w:eastAsia="楷体" w:cs="楷体"/>
          <w:b/>
          <w:bCs/>
          <w:i w:val="0"/>
          <w:caps w:val="0"/>
          <w:color w:val="auto"/>
          <w:spacing w:val="0"/>
          <w:sz w:val="32"/>
          <w:szCs w:val="32"/>
          <w:shd w:val="clear" w:color="auto" w:fill="auto"/>
        </w:rPr>
        <w:t>主动公开。</w:t>
      </w:r>
      <w:r>
        <w:rPr>
          <w:rFonts w:hint="eastAsia" w:ascii="仿宋_GB2312" w:hAnsi="仿宋_GB2312" w:eastAsia="仿宋_GB2312" w:cs="仿宋_GB2312"/>
          <w:i w:val="0"/>
          <w:caps w:val="0"/>
          <w:color w:val="auto"/>
          <w:spacing w:val="0"/>
          <w:sz w:val="32"/>
          <w:szCs w:val="32"/>
          <w:shd w:val="clear" w:color="auto" w:fill="auto"/>
          <w:lang w:val="en-US" w:eastAsia="zh-CN"/>
        </w:rPr>
        <w:t>玛热勒苏镇</w:t>
      </w:r>
      <w:r>
        <w:rPr>
          <w:rFonts w:hint="eastAsia" w:ascii="仿宋_GB2312" w:hAnsi="仿宋_GB2312" w:eastAsia="仿宋_GB2312" w:cs="仿宋_GB2312"/>
          <w:i w:val="0"/>
          <w:caps w:val="0"/>
          <w:color w:val="auto"/>
          <w:spacing w:val="0"/>
          <w:sz w:val="32"/>
          <w:szCs w:val="32"/>
          <w:shd w:val="clear" w:color="auto" w:fill="auto"/>
        </w:rPr>
        <w:t>人民政府始终坚持以公开为常态、不公开为例外的原则，认真贯彻落实《中华人民共和国政府信息公开条例》，扎实推进202</w:t>
      </w:r>
      <w:r>
        <w:rPr>
          <w:rFonts w:hint="eastAsia" w:ascii="仿宋_GB2312" w:hAnsi="仿宋_GB2312" w:eastAsia="仿宋_GB2312" w:cs="仿宋_GB2312"/>
          <w:i w:val="0"/>
          <w:caps w:val="0"/>
          <w:color w:val="auto"/>
          <w:spacing w:val="0"/>
          <w:sz w:val="32"/>
          <w:szCs w:val="32"/>
          <w:shd w:val="clear" w:color="auto" w:fill="auto"/>
          <w:lang w:val="en-US" w:eastAsia="zh-CN"/>
        </w:rPr>
        <w:t>4</w:t>
      </w:r>
      <w:r>
        <w:rPr>
          <w:rFonts w:hint="eastAsia" w:ascii="仿宋_GB2312" w:hAnsi="仿宋_GB2312" w:eastAsia="仿宋_GB2312" w:cs="仿宋_GB2312"/>
          <w:i w:val="0"/>
          <w:caps w:val="0"/>
          <w:color w:val="auto"/>
          <w:spacing w:val="0"/>
          <w:sz w:val="32"/>
          <w:szCs w:val="32"/>
          <w:shd w:val="clear" w:color="auto" w:fill="auto"/>
        </w:rPr>
        <w:t>年政府信息公开工作，把信息公开工作与服务型政府建设，提升机关行政效能等工作紧密结合，对社会关注、群众关心的重点热点内容进行主动公开。截至目前</w:t>
      </w:r>
      <w:r>
        <w:rPr>
          <w:rFonts w:hint="eastAsia" w:ascii="仿宋_GB2312" w:hAnsi="仿宋_GB2312" w:eastAsia="仿宋_GB2312" w:cs="仿宋_GB2312"/>
          <w:i w:val="0"/>
          <w:caps w:val="0"/>
          <w:color w:val="auto"/>
          <w:spacing w:val="0"/>
          <w:sz w:val="32"/>
          <w:szCs w:val="32"/>
          <w:shd w:val="clear" w:color="auto" w:fill="auto"/>
          <w:lang w:eastAsia="zh-CN"/>
        </w:rPr>
        <w:t>，</w:t>
      </w:r>
      <w:r>
        <w:rPr>
          <w:rFonts w:hint="eastAsia" w:ascii="仿宋_GB2312" w:hAnsi="仿宋_GB2312" w:eastAsia="仿宋_GB2312" w:cs="仿宋_GB2312"/>
          <w:i w:val="0"/>
          <w:caps w:val="0"/>
          <w:color w:val="auto"/>
          <w:spacing w:val="0"/>
          <w:sz w:val="32"/>
          <w:szCs w:val="32"/>
          <w:shd w:val="clear" w:color="auto" w:fill="auto"/>
        </w:rPr>
        <w:t>借助新媒体平台发布各类活动、政策宣讲等视频</w:t>
      </w:r>
      <w:r>
        <w:rPr>
          <w:rFonts w:hint="eastAsia" w:ascii="仿宋_GB2312" w:hAnsi="仿宋_GB2312" w:eastAsia="仿宋_GB2312" w:cs="仿宋_GB2312"/>
          <w:i w:val="0"/>
          <w:caps w:val="0"/>
          <w:color w:val="auto"/>
          <w:spacing w:val="0"/>
          <w:sz w:val="32"/>
          <w:szCs w:val="32"/>
          <w:shd w:val="clear" w:color="auto" w:fill="auto"/>
          <w:lang w:val="en-US" w:eastAsia="zh-CN"/>
        </w:rPr>
        <w:t>227</w:t>
      </w:r>
      <w:r>
        <w:rPr>
          <w:rFonts w:hint="eastAsia" w:ascii="仿宋_GB2312" w:hAnsi="仿宋_GB2312" w:eastAsia="仿宋_GB2312" w:cs="仿宋_GB2312"/>
          <w:i w:val="0"/>
          <w:caps w:val="0"/>
          <w:color w:val="auto"/>
          <w:spacing w:val="0"/>
          <w:sz w:val="32"/>
          <w:szCs w:val="32"/>
          <w:shd w:val="clear" w:color="auto" w:fill="auto"/>
        </w:rPr>
        <w:t>条，切实保障了公众的知情权，提高了政府工作透明度。</w:t>
      </w:r>
    </w:p>
    <w:p>
      <w:pPr>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firstLine="643" w:firstLineChars="200"/>
        <w:jc w:val="left"/>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楷体" w:hAnsi="楷体" w:eastAsia="楷体" w:cs="楷体"/>
          <w:b/>
          <w:bCs/>
          <w:i w:val="0"/>
          <w:caps w:val="0"/>
          <w:color w:val="auto"/>
          <w:spacing w:val="0"/>
          <w:kern w:val="0"/>
          <w:sz w:val="32"/>
          <w:szCs w:val="32"/>
          <w:shd w:val="clear" w:color="auto" w:fill="auto"/>
          <w:lang w:val="en-US" w:eastAsia="zh-CN" w:bidi="ar-SA"/>
        </w:rPr>
        <w:t>（二）依申请公开情况。</w:t>
      </w:r>
      <w:r>
        <w:rPr>
          <w:rFonts w:hint="eastAsia" w:ascii="仿宋_GB2312" w:hAnsi="仿宋_GB2312" w:eastAsia="仿宋_GB2312" w:cs="仿宋_GB2312"/>
          <w:i w:val="0"/>
          <w:caps w:val="0"/>
          <w:color w:val="auto"/>
          <w:spacing w:val="0"/>
          <w:sz w:val="32"/>
          <w:szCs w:val="32"/>
          <w:shd w:val="clear" w:color="auto" w:fill="auto"/>
          <w:lang w:val="en-US" w:eastAsia="zh-CN"/>
        </w:rPr>
        <w:t>遵循公正、公平、便民的原则，规范发布信息公开指南，明确公开申请渠道，保障受理渠道畅通。2024年，玛热勒苏镇未收到有关依申请公开及政府信息公开方面的行政复议和行政诉讼备案，未收到信息公开举报投诉案件。</w:t>
      </w:r>
    </w:p>
    <w:p>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i w:val="0"/>
          <w:caps w:val="0"/>
          <w:color w:val="auto"/>
          <w:spacing w:val="0"/>
          <w:sz w:val="32"/>
          <w:szCs w:val="32"/>
          <w:shd w:val="clear" w:color="auto" w:fill="auto"/>
          <w:lang w:eastAsia="zh-CN"/>
        </w:rPr>
      </w:pPr>
      <w:r>
        <w:rPr>
          <w:rFonts w:hint="eastAsia" w:ascii="楷体" w:hAnsi="楷体" w:eastAsia="楷体" w:cs="楷体"/>
          <w:b/>
          <w:bCs/>
          <w:i w:val="0"/>
          <w:caps w:val="0"/>
          <w:color w:val="auto"/>
          <w:spacing w:val="0"/>
          <w:sz w:val="32"/>
          <w:szCs w:val="32"/>
          <w:shd w:val="clear" w:color="auto" w:fill="auto"/>
        </w:rPr>
        <w:t>（三）</w:t>
      </w:r>
      <w:r>
        <w:rPr>
          <w:rFonts w:hint="eastAsia" w:ascii="楷体" w:hAnsi="楷体" w:eastAsia="楷体" w:cs="楷体"/>
          <w:b/>
          <w:bCs/>
          <w:i w:val="0"/>
          <w:caps w:val="0"/>
          <w:color w:val="auto"/>
          <w:spacing w:val="0"/>
          <w:sz w:val="32"/>
          <w:szCs w:val="32"/>
          <w:shd w:val="clear" w:color="auto" w:fill="auto"/>
          <w:lang w:val="en-US" w:eastAsia="zh-CN"/>
        </w:rPr>
        <w:t>政府</w:t>
      </w:r>
      <w:r>
        <w:rPr>
          <w:rFonts w:hint="eastAsia" w:ascii="楷体" w:hAnsi="楷体" w:eastAsia="楷体" w:cs="楷体"/>
          <w:b/>
          <w:bCs/>
          <w:i w:val="0"/>
          <w:caps w:val="0"/>
          <w:color w:val="auto"/>
          <w:spacing w:val="0"/>
          <w:sz w:val="32"/>
          <w:szCs w:val="32"/>
          <w:shd w:val="clear" w:color="auto" w:fill="auto"/>
        </w:rPr>
        <w:t>信息管理情况。</w:t>
      </w:r>
      <w:r>
        <w:rPr>
          <w:rFonts w:hint="eastAsia" w:ascii="仿宋_GB2312" w:hAnsi="仿宋_GB2312" w:eastAsia="仿宋_GB2312" w:cs="仿宋_GB2312"/>
          <w:b w:val="0"/>
          <w:bCs w:val="0"/>
          <w:i w:val="0"/>
          <w:caps w:val="0"/>
          <w:color w:val="auto"/>
          <w:spacing w:val="0"/>
          <w:sz w:val="32"/>
          <w:szCs w:val="32"/>
          <w:shd w:val="clear" w:color="auto" w:fill="auto"/>
        </w:rPr>
        <w:t>严格落实“三审三校”制度，所有拟公开的政府信息需经过相关部门负责人初审、分管领导复审、主要领导终审的多层把关流程，确保信息内容真实、准确，符合法律法规及相关保密规定，避免出现信息差错和泄密事件，切实维护政府的权威性和严肃性。</w:t>
      </w:r>
    </w:p>
    <w:p>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楷体" w:hAnsi="楷体" w:eastAsia="楷体" w:cs="楷体"/>
          <w:b/>
          <w:bCs/>
          <w:i w:val="0"/>
          <w:caps w:val="0"/>
          <w:color w:val="auto"/>
          <w:spacing w:val="0"/>
          <w:sz w:val="32"/>
          <w:szCs w:val="32"/>
          <w:shd w:val="clear" w:color="auto" w:fill="auto"/>
        </w:rPr>
        <w:t>（四）平台建设情况。</w:t>
      </w:r>
      <w:r>
        <w:rPr>
          <w:rFonts w:hint="eastAsia" w:ascii="仿宋_GB2312" w:hAnsi="仿宋_GB2312" w:eastAsia="仿宋_GB2312" w:cs="仿宋_GB2312"/>
          <w:i w:val="0"/>
          <w:caps w:val="0"/>
          <w:color w:val="auto"/>
          <w:spacing w:val="0"/>
          <w:sz w:val="32"/>
          <w:szCs w:val="32"/>
          <w:shd w:val="clear" w:color="auto" w:fill="auto"/>
        </w:rPr>
        <w:t>根据《政务公开工作要点》和工作实际，</w:t>
      </w:r>
      <w:r>
        <w:rPr>
          <w:rFonts w:hint="eastAsia" w:ascii="仿宋_GB2312" w:hAnsi="仿宋_GB2312" w:eastAsia="仿宋_GB2312" w:cs="仿宋_GB2312"/>
          <w:i w:val="0"/>
          <w:caps w:val="0"/>
          <w:color w:val="auto"/>
          <w:spacing w:val="0"/>
          <w:sz w:val="32"/>
          <w:szCs w:val="32"/>
          <w:shd w:val="clear" w:color="auto" w:fill="auto"/>
          <w:lang w:val="en-US" w:eastAsia="zh-CN"/>
        </w:rPr>
        <w:t>设立政务公开领导小组和信息公开专栏</w:t>
      </w:r>
      <w:r>
        <w:rPr>
          <w:rFonts w:hint="eastAsia" w:ascii="仿宋_GB2312" w:hAnsi="仿宋_GB2312" w:eastAsia="仿宋_GB2312" w:cs="仿宋_GB2312"/>
          <w:i w:val="0"/>
          <w:caps w:val="0"/>
          <w:color w:val="auto"/>
          <w:spacing w:val="0"/>
          <w:sz w:val="32"/>
          <w:szCs w:val="32"/>
          <w:shd w:val="clear" w:color="auto" w:fill="auto"/>
        </w:rPr>
        <w:t>，全力保障政府信息公开工作顺利</w:t>
      </w:r>
      <w:r>
        <w:rPr>
          <w:rFonts w:hint="eastAsia" w:ascii="仿宋_GB2312" w:hAnsi="仿宋_GB2312" w:eastAsia="仿宋_GB2312" w:cs="仿宋_GB2312"/>
          <w:i w:val="0"/>
          <w:caps w:val="0"/>
          <w:color w:val="auto"/>
          <w:spacing w:val="0"/>
          <w:sz w:val="32"/>
          <w:szCs w:val="32"/>
          <w:shd w:val="clear" w:color="auto" w:fill="auto"/>
          <w:lang w:val="en-US" w:eastAsia="zh-CN"/>
        </w:rPr>
        <w:t>开展。加强新媒</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体账号的运维管理，规范信息发布格式和频次，定期对账号的粉丝互动情况、阅读量等数据进行分析，以便更好地根据群众需求调整</w:t>
      </w:r>
      <w:r>
        <w:rPr>
          <w:rFonts w:hint="eastAsia" w:ascii="仿宋_GB2312" w:hAnsi="仿宋_GB2312" w:eastAsia="仿宋_GB2312" w:cs="仿宋_GB2312"/>
          <w:i w:val="0"/>
          <w:caps w:val="0"/>
          <w:color w:val="auto"/>
          <w:spacing w:val="0"/>
          <w:sz w:val="32"/>
          <w:szCs w:val="32"/>
          <w:shd w:val="clear" w:color="auto" w:fill="auto"/>
          <w:lang w:val="en-US" w:eastAsia="zh-CN"/>
        </w:rPr>
        <w:t>信息推送内容。</w:t>
      </w:r>
    </w:p>
    <w:p>
      <w:pPr>
        <w:pStyle w:val="3"/>
        <w:keepNext w:val="0"/>
        <w:keepLines w:val="0"/>
        <w:pageBreakBefore w:val="0"/>
        <w:widowControl/>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楷体" w:hAnsi="楷体" w:eastAsia="楷体" w:cs="楷体"/>
          <w:b/>
          <w:bCs/>
          <w:i w:val="0"/>
          <w:caps w:val="0"/>
          <w:color w:val="auto"/>
          <w:spacing w:val="0"/>
          <w:sz w:val="32"/>
          <w:szCs w:val="32"/>
          <w:shd w:val="clear" w:color="auto" w:fill="auto"/>
        </w:rPr>
        <w:t>（五）监督保障情况</w:t>
      </w:r>
      <w:r>
        <w:rPr>
          <w:rFonts w:hint="eastAsia" w:ascii="仿宋_GB2312" w:hAnsi="仿宋_GB2312" w:eastAsia="仿宋_GB2312" w:cs="仿宋_GB2312"/>
          <w:i w:val="0"/>
          <w:caps w:val="0"/>
          <w:color w:val="auto"/>
          <w:spacing w:val="0"/>
          <w:sz w:val="32"/>
          <w:szCs w:val="32"/>
          <w:shd w:val="clear" w:color="auto" w:fill="auto"/>
        </w:rPr>
        <w:t>。</w:t>
      </w:r>
      <w:r>
        <w:rPr>
          <w:rFonts w:hint="eastAsia" w:ascii="仿宋_GB2312" w:hAnsi="仿宋_GB2312" w:eastAsia="仿宋_GB2312" w:cs="仿宋_GB2312"/>
          <w:b/>
          <w:bCs/>
          <w:i w:val="0"/>
          <w:caps w:val="0"/>
          <w:color w:val="auto"/>
          <w:spacing w:val="0"/>
          <w:sz w:val="32"/>
          <w:szCs w:val="32"/>
          <w:shd w:val="clear" w:color="auto" w:fill="auto"/>
          <w:lang w:val="en-US" w:eastAsia="zh-CN"/>
        </w:rPr>
        <w:t>一是</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及时公开政务信息咨询电话，便于群众咨询和监督，设立本单位行政咨询电话，随时接受群众的咨询和投诉。</w:t>
      </w:r>
      <w:r>
        <w:rPr>
          <w:rFonts w:hint="eastAsia" w:ascii="仿宋_GB2312" w:hAnsi="仿宋_GB2312" w:eastAsia="仿宋_GB2312" w:cs="仿宋_GB2312"/>
          <w:b/>
          <w:bCs/>
          <w:i w:val="0"/>
          <w:caps w:val="0"/>
          <w:color w:val="auto"/>
          <w:spacing w:val="0"/>
          <w:sz w:val="32"/>
          <w:szCs w:val="32"/>
          <w:shd w:val="clear" w:color="auto" w:fill="auto"/>
          <w:lang w:val="en-US" w:eastAsia="zh-CN"/>
        </w:rPr>
        <w:t>二是</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完善信息公开制度，进一步明确信息公开的范围、方式、程序，增强公共政策制定透明度和群众参与度，涉及群众切身利益的方案广泛征求群众意见。</w:t>
      </w:r>
      <w:r>
        <w:rPr>
          <w:rFonts w:hint="eastAsia" w:ascii="仿宋_GB2312" w:hAnsi="仿宋_GB2312" w:eastAsia="仿宋_GB2312" w:cs="仿宋_GB2312"/>
          <w:b/>
          <w:bCs/>
          <w:i w:val="0"/>
          <w:caps w:val="0"/>
          <w:color w:val="auto"/>
          <w:spacing w:val="0"/>
          <w:sz w:val="32"/>
          <w:szCs w:val="32"/>
          <w:shd w:val="clear" w:color="auto" w:fill="auto"/>
          <w:lang w:val="en-US" w:eastAsia="zh-CN"/>
        </w:rPr>
        <w:t>三是</w:t>
      </w:r>
      <w:r>
        <w:rPr>
          <w:rFonts w:hint="eastAsia" w:ascii="仿宋_GB2312" w:hAnsi="仿宋_GB2312" w:eastAsia="仿宋_GB2312" w:cs="仿宋_GB2312"/>
          <w:b w:val="0"/>
          <w:bCs w:val="0"/>
          <w:i w:val="0"/>
          <w:caps w:val="0"/>
          <w:color w:val="auto"/>
          <w:spacing w:val="0"/>
          <w:sz w:val="32"/>
          <w:szCs w:val="32"/>
          <w:shd w:val="clear" w:color="auto" w:fill="auto"/>
          <w:lang w:val="en-US" w:eastAsia="zh-CN"/>
        </w:rPr>
        <w:t>加强工作部署。强化责任意识，坚持与业务工作同部署、同检查、同考核，主动公开咨询、监督投诉电话，自觉接受有关部门监督检查和社会评议。</w:t>
      </w:r>
    </w:p>
    <w:p>
      <w:pPr>
        <w:spacing w:line="560" w:lineRule="exact"/>
        <w:ind w:firstLine="640" w:firstLineChars="200"/>
        <w:jc w:val="left"/>
        <w:rPr>
          <w:rFonts w:hint="eastAsia" w:ascii="黑体" w:hAnsi="黑体" w:eastAsia="黑体" w:cs="宋体"/>
          <w:color w:val="auto"/>
          <w:sz w:val="32"/>
          <w:szCs w:val="32"/>
          <w:shd w:val="clear" w:color="auto" w:fill="auto"/>
        </w:rPr>
      </w:pPr>
    </w:p>
    <w:p>
      <w:pPr>
        <w:spacing w:line="560" w:lineRule="exact"/>
        <w:ind w:firstLine="640" w:firstLineChars="200"/>
        <w:jc w:val="left"/>
        <w:rPr>
          <w:rFonts w:hint="eastAsia" w:ascii="黑体" w:hAnsi="黑体" w:eastAsia="黑体" w:cs="宋体"/>
          <w:color w:val="auto"/>
          <w:sz w:val="32"/>
          <w:szCs w:val="32"/>
          <w:shd w:val="clear" w:color="auto" w:fill="auto"/>
        </w:rPr>
      </w:pPr>
      <w:r>
        <w:rPr>
          <w:rFonts w:hint="eastAsia" w:ascii="黑体" w:hAnsi="黑体" w:eastAsia="黑体" w:cs="宋体"/>
          <w:color w:val="auto"/>
          <w:sz w:val="32"/>
          <w:szCs w:val="32"/>
          <w:shd w:val="clear" w:color="auto" w:fill="auto"/>
        </w:rPr>
        <w:t>二、主动公开政府信息情况</w:t>
      </w:r>
    </w:p>
    <w:tbl>
      <w:tblPr>
        <w:tblStyle w:val="4"/>
        <w:tblW w:w="84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7"/>
        <w:gridCol w:w="2058"/>
        <w:gridCol w:w="1686"/>
        <w:gridCol w:w="1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4" w:hRule="atLeast"/>
          <w:jc w:val="center"/>
        </w:trPr>
        <w:tc>
          <w:tcPr>
            <w:tcW w:w="8472" w:type="dxa"/>
            <w:gridSpan w:val="4"/>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7" w:hRule="atLeast"/>
          <w:jc w:val="center"/>
        </w:trPr>
        <w:tc>
          <w:tcPr>
            <w:tcW w:w="2847" w:type="dxa"/>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信息内容</w:t>
            </w:r>
          </w:p>
        </w:tc>
        <w:tc>
          <w:tcPr>
            <w:tcW w:w="2058" w:type="dxa"/>
            <w:noWrap/>
            <w:vAlign w:val="top"/>
          </w:tcPr>
          <w:p>
            <w:pPr>
              <w:widowControl/>
              <w:spacing w:after="144" w:line="300" w:lineRule="exact"/>
              <w:jc w:val="center"/>
              <w:rPr>
                <w:rFonts w:hint="eastAsia" w:eastAsia="宋体"/>
                <w:color w:val="auto"/>
                <w:sz w:val="24"/>
                <w:shd w:val="clear" w:color="auto" w:fill="auto"/>
                <w:lang w:eastAsia="zh-CN"/>
              </w:rPr>
            </w:pPr>
            <w:r>
              <w:rPr>
                <w:rFonts w:hint="eastAsia" w:ascii="宋体" w:hAnsi="宋体" w:cs="宋体"/>
                <w:color w:val="auto"/>
                <w:kern w:val="0"/>
                <w:sz w:val="24"/>
                <w:shd w:val="clear" w:color="auto" w:fill="auto"/>
                <w:lang w:bidi="ar"/>
              </w:rPr>
              <w:t>本年</w:t>
            </w:r>
            <w:r>
              <w:rPr>
                <w:color w:val="auto"/>
                <w:kern w:val="0"/>
                <w:sz w:val="24"/>
                <w:shd w:val="clear" w:color="auto" w:fill="auto"/>
                <w:lang w:bidi="ar"/>
              </w:rPr>
              <w:t>制</w:t>
            </w:r>
            <w:r>
              <w:rPr>
                <w:rFonts w:hint="eastAsia"/>
                <w:color w:val="auto"/>
                <w:kern w:val="0"/>
                <w:sz w:val="24"/>
                <w:shd w:val="clear" w:color="auto" w:fill="auto"/>
                <w:lang w:eastAsia="zh-CN" w:bidi="ar"/>
              </w:rPr>
              <w:t>发件数</w:t>
            </w:r>
          </w:p>
        </w:tc>
        <w:tc>
          <w:tcPr>
            <w:tcW w:w="1686" w:type="dxa"/>
            <w:noWrap w:val="0"/>
            <w:vAlign w:val="top"/>
          </w:tcPr>
          <w:p>
            <w:pPr>
              <w:widowControl/>
              <w:spacing w:after="144" w:line="300" w:lineRule="exact"/>
              <w:jc w:val="center"/>
              <w:rPr>
                <w:rFonts w:hint="eastAsia" w:eastAsia="宋体"/>
                <w:color w:val="auto"/>
                <w:sz w:val="24"/>
                <w:shd w:val="clear" w:color="auto" w:fill="auto"/>
                <w:lang w:eastAsia="zh-CN"/>
              </w:rPr>
            </w:pPr>
            <w:r>
              <w:rPr>
                <w:rFonts w:hint="eastAsia" w:ascii="宋体" w:hAnsi="宋体" w:cs="宋体"/>
                <w:color w:val="auto"/>
                <w:kern w:val="0"/>
                <w:sz w:val="24"/>
                <w:shd w:val="clear" w:color="auto" w:fill="auto"/>
                <w:lang w:bidi="ar"/>
              </w:rPr>
              <w:t>本年</w:t>
            </w:r>
            <w:r>
              <w:rPr>
                <w:rFonts w:hint="eastAsia" w:ascii="宋体" w:hAnsi="宋体" w:cs="宋体"/>
                <w:color w:val="auto"/>
                <w:kern w:val="0"/>
                <w:sz w:val="24"/>
                <w:shd w:val="clear" w:color="auto" w:fill="auto"/>
                <w:lang w:eastAsia="zh-CN" w:bidi="ar"/>
              </w:rPr>
              <w:t>废止件数</w:t>
            </w:r>
          </w:p>
        </w:tc>
        <w:tc>
          <w:tcPr>
            <w:tcW w:w="1881" w:type="dxa"/>
            <w:noWrap/>
            <w:vAlign w:val="top"/>
          </w:tcPr>
          <w:p>
            <w:pPr>
              <w:widowControl/>
              <w:spacing w:after="144" w:line="300" w:lineRule="exact"/>
              <w:jc w:val="center"/>
              <w:rPr>
                <w:rFonts w:hint="eastAsia" w:eastAsia="宋体"/>
                <w:color w:val="auto"/>
                <w:sz w:val="24"/>
                <w:shd w:val="clear" w:color="auto" w:fill="auto"/>
                <w:lang w:eastAsia="zh-CN"/>
              </w:rPr>
            </w:pPr>
            <w:r>
              <w:rPr>
                <w:rFonts w:hint="eastAsia"/>
                <w:color w:val="auto"/>
                <w:sz w:val="24"/>
                <w:shd w:val="clear" w:color="auto" w:fill="auto"/>
                <w:lang w:eastAsia="zh-CN"/>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2847" w:type="dxa"/>
            <w:noWrap/>
            <w:vAlign w:val="top"/>
          </w:tcPr>
          <w:p>
            <w:pPr>
              <w:widowControl/>
              <w:spacing w:after="144" w:line="300" w:lineRule="exact"/>
              <w:jc w:val="left"/>
              <w:rPr>
                <w:color w:val="auto"/>
                <w:sz w:val="24"/>
                <w:shd w:val="clear" w:color="auto" w:fill="auto"/>
              </w:rPr>
            </w:pPr>
            <w:r>
              <w:rPr>
                <w:rFonts w:hint="eastAsia" w:ascii="宋体" w:hAnsi="宋体" w:cs="宋体"/>
                <w:color w:val="auto"/>
                <w:kern w:val="0"/>
                <w:sz w:val="24"/>
                <w:shd w:val="clear" w:color="auto" w:fill="auto"/>
                <w:lang w:bidi="ar"/>
              </w:rPr>
              <w:t>规章</w:t>
            </w:r>
          </w:p>
        </w:tc>
        <w:tc>
          <w:tcPr>
            <w:tcW w:w="2058" w:type="dxa"/>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1686" w:type="dxa"/>
            <w:noWrap w:val="0"/>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1881" w:type="dxa"/>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2" w:hRule="atLeast"/>
          <w:jc w:val="center"/>
        </w:trPr>
        <w:tc>
          <w:tcPr>
            <w:tcW w:w="2847" w:type="dxa"/>
            <w:noWrap/>
            <w:vAlign w:val="top"/>
          </w:tcPr>
          <w:p>
            <w:pPr>
              <w:widowControl/>
              <w:spacing w:after="144" w:line="300" w:lineRule="exact"/>
              <w:jc w:val="left"/>
              <w:rPr>
                <w:color w:val="auto"/>
                <w:sz w:val="24"/>
                <w:shd w:val="clear" w:color="auto" w:fill="auto"/>
              </w:rPr>
            </w:pPr>
            <w:r>
              <w:rPr>
                <w:rFonts w:hint="eastAsia" w:ascii="宋体" w:hAnsi="宋体" w:cs="宋体"/>
                <w:color w:val="auto"/>
                <w:kern w:val="0"/>
                <w:sz w:val="24"/>
                <w:shd w:val="clear" w:color="auto" w:fill="auto"/>
                <w:lang w:bidi="ar"/>
              </w:rPr>
              <w:t>规范性文件</w:t>
            </w:r>
          </w:p>
        </w:tc>
        <w:tc>
          <w:tcPr>
            <w:tcW w:w="2058" w:type="dxa"/>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1686" w:type="dxa"/>
            <w:noWrap w:val="0"/>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1881" w:type="dxa"/>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8472" w:type="dxa"/>
            <w:gridSpan w:val="4"/>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 w:hRule="atLeast"/>
          <w:jc w:val="center"/>
        </w:trPr>
        <w:tc>
          <w:tcPr>
            <w:tcW w:w="2847" w:type="dxa"/>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信息内容</w:t>
            </w:r>
          </w:p>
        </w:tc>
        <w:tc>
          <w:tcPr>
            <w:tcW w:w="5625" w:type="dxa"/>
            <w:gridSpan w:val="3"/>
            <w:noWrap/>
            <w:vAlign w:val="top"/>
          </w:tcPr>
          <w:p>
            <w:pPr>
              <w:widowControl/>
              <w:spacing w:after="144" w:line="300" w:lineRule="exact"/>
              <w:jc w:val="center"/>
              <w:rPr>
                <w:rFonts w:hint="eastAsia" w:eastAsia="宋体"/>
                <w:color w:val="auto"/>
                <w:sz w:val="24"/>
                <w:shd w:val="clear" w:color="auto" w:fill="auto"/>
                <w:lang w:eastAsia="zh-CN"/>
              </w:rPr>
            </w:pPr>
            <w:r>
              <w:rPr>
                <w:rFonts w:hint="eastAsia"/>
                <w:color w:val="auto"/>
                <w:sz w:val="24"/>
                <w:shd w:val="clear" w:color="auto" w:fill="auto"/>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 w:hRule="atLeast"/>
          <w:jc w:val="center"/>
        </w:trPr>
        <w:tc>
          <w:tcPr>
            <w:tcW w:w="2847" w:type="dxa"/>
            <w:noWrap/>
            <w:vAlign w:val="top"/>
          </w:tcPr>
          <w:p>
            <w:pPr>
              <w:widowControl/>
              <w:spacing w:after="144" w:line="300" w:lineRule="exact"/>
              <w:jc w:val="left"/>
              <w:rPr>
                <w:color w:val="auto"/>
                <w:sz w:val="24"/>
                <w:shd w:val="clear" w:color="auto" w:fill="auto"/>
              </w:rPr>
            </w:pPr>
            <w:r>
              <w:rPr>
                <w:rFonts w:hint="eastAsia" w:ascii="宋体" w:hAnsi="宋体" w:cs="宋体"/>
                <w:color w:val="auto"/>
                <w:kern w:val="0"/>
                <w:sz w:val="24"/>
                <w:shd w:val="clear" w:color="auto" w:fill="auto"/>
                <w:lang w:bidi="ar"/>
              </w:rPr>
              <w:t>行政许可</w:t>
            </w:r>
          </w:p>
        </w:tc>
        <w:tc>
          <w:tcPr>
            <w:tcW w:w="5625" w:type="dxa"/>
            <w:gridSpan w:val="3"/>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6" w:hRule="atLeast"/>
          <w:jc w:val="center"/>
        </w:trPr>
        <w:tc>
          <w:tcPr>
            <w:tcW w:w="8472" w:type="dxa"/>
            <w:gridSpan w:val="4"/>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jc w:val="center"/>
        </w:trPr>
        <w:tc>
          <w:tcPr>
            <w:tcW w:w="2847" w:type="dxa"/>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信息内容</w:t>
            </w:r>
          </w:p>
        </w:tc>
        <w:tc>
          <w:tcPr>
            <w:tcW w:w="5625" w:type="dxa"/>
            <w:gridSpan w:val="3"/>
            <w:noWrap/>
            <w:vAlign w:val="top"/>
          </w:tcPr>
          <w:p>
            <w:pPr>
              <w:widowControl/>
              <w:spacing w:after="144" w:line="300" w:lineRule="exact"/>
              <w:jc w:val="center"/>
              <w:rPr>
                <w:color w:val="auto"/>
                <w:sz w:val="24"/>
                <w:shd w:val="clear" w:color="auto" w:fill="auto"/>
              </w:rPr>
            </w:pPr>
            <w:r>
              <w:rPr>
                <w:rFonts w:hint="eastAsia"/>
                <w:color w:val="auto"/>
                <w:sz w:val="24"/>
                <w:shd w:val="clear" w:color="auto" w:fill="auto"/>
                <w:lang w:eastAsia="zh-CN"/>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847" w:type="dxa"/>
            <w:noWrap/>
            <w:vAlign w:val="top"/>
          </w:tcPr>
          <w:p>
            <w:pPr>
              <w:widowControl/>
              <w:spacing w:after="144" w:line="300" w:lineRule="exact"/>
              <w:jc w:val="left"/>
              <w:rPr>
                <w:color w:val="auto"/>
                <w:sz w:val="24"/>
                <w:shd w:val="clear" w:color="auto" w:fill="auto"/>
              </w:rPr>
            </w:pPr>
            <w:r>
              <w:rPr>
                <w:rFonts w:hint="eastAsia" w:ascii="宋体" w:hAnsi="宋体" w:cs="宋体"/>
                <w:color w:val="auto"/>
                <w:kern w:val="0"/>
                <w:sz w:val="24"/>
                <w:shd w:val="clear" w:color="auto" w:fill="auto"/>
                <w:lang w:bidi="ar"/>
              </w:rPr>
              <w:t>行政处罚</w:t>
            </w:r>
          </w:p>
        </w:tc>
        <w:tc>
          <w:tcPr>
            <w:tcW w:w="5625" w:type="dxa"/>
            <w:gridSpan w:val="3"/>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0" w:hRule="atLeast"/>
          <w:jc w:val="center"/>
        </w:trPr>
        <w:tc>
          <w:tcPr>
            <w:tcW w:w="2847" w:type="dxa"/>
            <w:noWrap/>
            <w:vAlign w:val="top"/>
          </w:tcPr>
          <w:p>
            <w:pPr>
              <w:widowControl/>
              <w:spacing w:after="144" w:line="300" w:lineRule="exact"/>
              <w:jc w:val="left"/>
              <w:rPr>
                <w:color w:val="auto"/>
                <w:sz w:val="24"/>
                <w:shd w:val="clear" w:color="auto" w:fill="auto"/>
              </w:rPr>
            </w:pPr>
            <w:r>
              <w:rPr>
                <w:rFonts w:hint="eastAsia" w:ascii="宋体" w:hAnsi="宋体" w:cs="宋体"/>
                <w:color w:val="auto"/>
                <w:kern w:val="0"/>
                <w:sz w:val="24"/>
                <w:shd w:val="clear" w:color="auto" w:fill="auto"/>
                <w:lang w:bidi="ar"/>
              </w:rPr>
              <w:t>行政强制</w:t>
            </w:r>
          </w:p>
        </w:tc>
        <w:tc>
          <w:tcPr>
            <w:tcW w:w="5625" w:type="dxa"/>
            <w:gridSpan w:val="3"/>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4" w:hRule="atLeast"/>
          <w:jc w:val="center"/>
        </w:trPr>
        <w:tc>
          <w:tcPr>
            <w:tcW w:w="8472" w:type="dxa"/>
            <w:gridSpan w:val="4"/>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2847" w:type="dxa"/>
            <w:noWrap/>
            <w:vAlign w:val="top"/>
          </w:tcPr>
          <w:p>
            <w:pPr>
              <w:widowControl/>
              <w:spacing w:after="144" w:line="300" w:lineRule="exact"/>
              <w:jc w:val="center"/>
              <w:rPr>
                <w:color w:val="auto"/>
                <w:sz w:val="24"/>
                <w:shd w:val="clear" w:color="auto" w:fill="auto"/>
              </w:rPr>
            </w:pPr>
            <w:r>
              <w:rPr>
                <w:rFonts w:hint="eastAsia" w:ascii="宋体" w:hAnsi="宋体" w:cs="宋体"/>
                <w:color w:val="auto"/>
                <w:kern w:val="0"/>
                <w:sz w:val="24"/>
                <w:shd w:val="clear" w:color="auto" w:fill="auto"/>
                <w:lang w:bidi="ar"/>
              </w:rPr>
              <w:t>信息内容</w:t>
            </w:r>
          </w:p>
        </w:tc>
        <w:tc>
          <w:tcPr>
            <w:tcW w:w="5625" w:type="dxa"/>
            <w:gridSpan w:val="3"/>
            <w:noWrap/>
            <w:vAlign w:val="top"/>
          </w:tcPr>
          <w:p>
            <w:pPr>
              <w:widowControl/>
              <w:spacing w:after="144" w:line="300" w:lineRule="exact"/>
              <w:jc w:val="center"/>
              <w:rPr>
                <w:color w:val="auto"/>
                <w:sz w:val="24"/>
                <w:shd w:val="clear" w:color="auto" w:fill="auto"/>
              </w:rPr>
            </w:pPr>
            <w:r>
              <w:rPr>
                <w:rFonts w:hint="eastAsia"/>
                <w:color w:val="auto"/>
                <w:sz w:val="24"/>
                <w:shd w:val="clear" w:color="auto" w:fill="auto"/>
                <w:lang w:eastAsia="zh-CN"/>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 w:hRule="atLeast"/>
          <w:jc w:val="center"/>
        </w:trPr>
        <w:tc>
          <w:tcPr>
            <w:tcW w:w="2847" w:type="dxa"/>
            <w:noWrap/>
            <w:vAlign w:val="top"/>
          </w:tcPr>
          <w:p>
            <w:pPr>
              <w:widowControl/>
              <w:spacing w:after="144" w:line="300" w:lineRule="exact"/>
              <w:jc w:val="left"/>
              <w:rPr>
                <w:color w:val="auto"/>
                <w:sz w:val="24"/>
                <w:shd w:val="clear" w:color="auto" w:fill="auto"/>
              </w:rPr>
            </w:pPr>
            <w:r>
              <w:rPr>
                <w:rFonts w:hint="eastAsia" w:ascii="宋体" w:hAnsi="宋体" w:cs="宋体"/>
                <w:color w:val="auto"/>
                <w:kern w:val="0"/>
                <w:sz w:val="24"/>
                <w:shd w:val="clear" w:color="auto" w:fill="auto"/>
                <w:lang w:bidi="ar"/>
              </w:rPr>
              <w:t>行政事业性收费</w:t>
            </w:r>
          </w:p>
        </w:tc>
        <w:tc>
          <w:tcPr>
            <w:tcW w:w="5625" w:type="dxa"/>
            <w:gridSpan w:val="3"/>
            <w:noWrap/>
            <w:vAlign w:val="top"/>
          </w:tcPr>
          <w:p>
            <w:pPr>
              <w:widowControl/>
              <w:spacing w:after="144" w:line="300" w:lineRule="exact"/>
              <w:jc w:val="center"/>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bl>
    <w:p>
      <w:pPr>
        <w:pStyle w:val="3"/>
        <w:widowControl/>
        <w:spacing w:before="0" w:beforeAutospacing="0" w:after="0" w:afterAutospacing="0" w:line="560" w:lineRule="exact"/>
        <w:ind w:firstLine="640" w:firstLineChars="200"/>
        <w:jc w:val="both"/>
        <w:rPr>
          <w:rFonts w:hint="eastAsia" w:ascii="黑体" w:hAnsi="黑体" w:eastAsia="黑体" w:cs="宋体"/>
          <w:color w:val="auto"/>
          <w:sz w:val="32"/>
          <w:szCs w:val="30"/>
          <w:shd w:val="clear" w:color="auto" w:fill="auto"/>
        </w:rPr>
      </w:pPr>
      <w:r>
        <w:rPr>
          <w:rFonts w:hint="eastAsia" w:ascii="黑体" w:hAnsi="黑体" w:eastAsia="黑体" w:cs="宋体"/>
          <w:color w:val="auto"/>
          <w:sz w:val="32"/>
          <w:szCs w:val="30"/>
          <w:shd w:val="clear" w:color="auto" w:fill="auto"/>
        </w:rPr>
        <w:t>三、收到和处理政府信息公开申请情况</w:t>
      </w:r>
    </w:p>
    <w:tbl>
      <w:tblPr>
        <w:tblStyle w:val="4"/>
        <w:tblW w:w="838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96"/>
        <w:gridCol w:w="936"/>
        <w:gridCol w:w="2756"/>
        <w:gridCol w:w="456"/>
        <w:gridCol w:w="652"/>
        <w:gridCol w:w="656"/>
        <w:gridCol w:w="655"/>
        <w:gridCol w:w="656"/>
        <w:gridCol w:w="464"/>
        <w:gridCol w:w="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1" w:hRule="atLeast"/>
          <w:jc w:val="center"/>
        </w:trPr>
        <w:tc>
          <w:tcPr>
            <w:tcW w:w="4388"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（本列数据的勾稽关系为：第一项加第二项之和，等于第三项加第四项之和）</w:t>
            </w:r>
          </w:p>
        </w:tc>
        <w:tc>
          <w:tcPr>
            <w:tcW w:w="3995"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388"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自然人</w:t>
            </w:r>
          </w:p>
        </w:tc>
        <w:tc>
          <w:tcPr>
            <w:tcW w:w="3083"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法人或其他组织</w:t>
            </w:r>
          </w:p>
        </w:tc>
        <w:tc>
          <w:tcPr>
            <w:tcW w:w="45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774" w:hRule="atLeast"/>
          <w:jc w:val="center"/>
        </w:trPr>
        <w:tc>
          <w:tcPr>
            <w:tcW w:w="4388" w:type="dxa"/>
            <w:gridSpan w:val="3"/>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45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商业企业</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科研机构</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社会公益组织</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法律服务机构</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其他</w:t>
            </w:r>
          </w:p>
        </w:tc>
        <w:tc>
          <w:tcPr>
            <w:tcW w:w="45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57" w:hRule="atLeast"/>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24"/>
                <w:shd w:val="clear" w:color="auto" w:fill="auto"/>
              </w:rPr>
            </w:pPr>
            <w:r>
              <w:rPr>
                <w:rFonts w:hint="eastAsia" w:ascii="宋体" w:hAnsi="宋体" w:cs="宋体"/>
                <w:color w:val="auto"/>
                <w:kern w:val="0"/>
                <w:sz w:val="24"/>
                <w:shd w:val="clear" w:color="auto" w:fill="auto"/>
                <w:lang w:bidi="ar"/>
              </w:rPr>
              <w:t>一、本年新收政府信息公开申请数量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00" w:hRule="atLeast"/>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24"/>
                <w:shd w:val="clear" w:color="auto" w:fill="auto"/>
              </w:rPr>
            </w:pPr>
            <w:r>
              <w:rPr>
                <w:rFonts w:hint="eastAsia" w:ascii="宋体" w:hAnsi="宋体" w:cs="宋体"/>
                <w:color w:val="auto"/>
                <w:kern w:val="0"/>
                <w:sz w:val="24"/>
                <w:shd w:val="clear" w:color="auto" w:fill="auto"/>
                <w:lang w:bidi="ar"/>
              </w:rPr>
              <w:t>二、上年结转政府信息公开申请数量</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87" w:hRule="atLeast"/>
          <w:jc w:val="center"/>
        </w:trPr>
        <w:tc>
          <w:tcPr>
            <w:tcW w:w="69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宋体" w:hAnsi="宋体" w:cs="宋体"/>
                <w:color w:val="auto"/>
                <w:kern w:val="0"/>
                <w:sz w:val="24"/>
                <w:shd w:val="clear" w:color="auto" w:fill="auto"/>
                <w:lang w:bidi="ar"/>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auto"/>
                <w:sz w:val="24"/>
                <w:shd w:val="clear" w:color="auto" w:fill="auto"/>
              </w:rPr>
            </w:pPr>
            <w:r>
              <w:rPr>
                <w:rFonts w:hint="eastAsia" w:ascii="宋体" w:hAnsi="宋体" w:cs="宋体"/>
                <w:color w:val="auto"/>
                <w:kern w:val="0"/>
                <w:sz w:val="24"/>
                <w:shd w:val="clear" w:color="auto" w:fill="auto"/>
                <w:lang w:bidi="ar"/>
              </w:rPr>
              <w:t>三、本年度办理结果</w:t>
            </w: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（一）予以公开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35"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369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（二）部分公开（区分处理的，只计这一情形，不计其他情形）</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（三）不予公开</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1.属于国家秘密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479"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2.其他法律行政法规禁止公开</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3.危及“三安全一稳定”</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4.保护第三方合法权益</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5.属于三类内部事务信息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6.属于四类过程性信息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7.属于行政执法案卷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50"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8.属于行政查询事项</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97"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（四）无法提供</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1.本机关不掌握相关政府信息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2.没有现成信息需要另行制作</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3.补正后申请内容仍不明确</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（五）不予处理</w:t>
            </w: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1.信访举报投诉类申请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2.重复申请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3.要求提供公开出版物</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4.无正当理由大量反复申请</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tcBorders>
              <w:bottom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tcBorders>
              <w:bottom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5.要求行政机关确认或重新出具已获取信息</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tcBorders>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restart"/>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（六）其他处理</w:t>
            </w:r>
          </w:p>
        </w:tc>
        <w:tc>
          <w:tcPr>
            <w:tcW w:w="2756" w:type="dxa"/>
            <w:tcBorders>
              <w:top w:val="single" w:color="auto" w:sz="4" w:space="0"/>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1.申请人无正当理由逾期不补正、行政机关不再处理其政府信息公开申请</w:t>
            </w:r>
          </w:p>
        </w:tc>
        <w:tc>
          <w:tcPr>
            <w:tcW w:w="456" w:type="dxa"/>
            <w:tcBorders>
              <w:lef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tcBorders>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tcBorders>
              <w:left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2.申请人逾期未按收费通知要求缴纳费用、行政机关不再处理其政府信息公开申请</w:t>
            </w:r>
          </w:p>
        </w:tc>
        <w:tc>
          <w:tcPr>
            <w:tcW w:w="456" w:type="dxa"/>
            <w:tcBorders>
              <w:lef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696" w:type="dxa"/>
            <w:vMerge w:val="continue"/>
            <w:tcBorders>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936" w:type="dxa"/>
            <w:vMerge w:val="continue"/>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2756" w:type="dxa"/>
            <w:tcBorders>
              <w:left w:val="single" w:color="auto" w:sz="4" w:space="0"/>
              <w:bottom w:val="single" w:color="auto" w:sz="4" w:space="0"/>
              <w:righ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3.其他</w:t>
            </w:r>
          </w:p>
        </w:tc>
        <w:tc>
          <w:tcPr>
            <w:tcW w:w="456" w:type="dxa"/>
            <w:tcBorders>
              <w:left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s="Calibri"/>
                <w:color w:val="auto"/>
                <w:kern w:val="0"/>
                <w:sz w:val="24"/>
                <w:shd w:val="clear" w:color="auto" w:fill="auto"/>
                <w:lang w:val="en-US" w:eastAsia="zh-CN" w:bidi="ar"/>
              </w:rPr>
            </w:pPr>
            <w:r>
              <w:rPr>
                <w:rFonts w:hint="eastAsia" w:cs="Calibri"/>
                <w:color w:val="auto"/>
                <w:kern w:val="0"/>
                <w:sz w:val="24"/>
                <w:shd w:val="clear" w:color="auto" w:fill="auto"/>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6" w:hRule="atLeast"/>
          <w:jc w:val="center"/>
        </w:trPr>
        <w:tc>
          <w:tcPr>
            <w:tcW w:w="696"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color w:val="auto"/>
                <w:sz w:val="24"/>
                <w:shd w:val="clear" w:color="auto" w:fill="auto"/>
              </w:rPr>
            </w:pPr>
          </w:p>
        </w:tc>
        <w:tc>
          <w:tcPr>
            <w:tcW w:w="3692" w:type="dxa"/>
            <w:gridSpan w:val="2"/>
            <w:tcBorders>
              <w:top w:val="single" w:color="auto" w:sz="4"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（七）总计</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4388"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color w:val="auto"/>
                <w:sz w:val="24"/>
                <w:shd w:val="clear" w:color="auto" w:fill="auto"/>
              </w:rPr>
            </w:pPr>
            <w:r>
              <w:rPr>
                <w:rFonts w:hint="eastAsia" w:ascii="宋体" w:hAnsi="宋体" w:cs="宋体"/>
                <w:color w:val="auto"/>
                <w:kern w:val="0"/>
                <w:sz w:val="24"/>
                <w:shd w:val="clear" w:color="auto" w:fill="auto"/>
                <w:lang w:bidi="ar"/>
              </w:rPr>
              <w:t>四、结转下年度继续办理</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6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64"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eastAsia="宋体"/>
                <w:color w:val="auto"/>
                <w:sz w:val="24"/>
                <w:shd w:val="clear" w:color="auto" w:fill="auto"/>
                <w:lang w:val="en-US" w:eastAsia="zh-CN"/>
              </w:rPr>
            </w:pPr>
            <w:r>
              <w:rPr>
                <w:rFonts w:hint="eastAsia"/>
                <w:color w:val="auto"/>
                <w:sz w:val="24"/>
                <w:shd w:val="clear" w:color="auto" w:fill="auto"/>
                <w:lang w:val="en-US" w:eastAsia="zh-CN"/>
              </w:rPr>
              <w:t>0</w:t>
            </w:r>
          </w:p>
        </w:tc>
        <w:tc>
          <w:tcPr>
            <w:tcW w:w="45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textAlignment w:val="auto"/>
              <w:rPr>
                <w:rFonts w:hint="eastAsia" w:ascii="宋体" w:eastAsia="宋体"/>
                <w:color w:val="auto"/>
                <w:sz w:val="24"/>
                <w:shd w:val="clear" w:color="auto" w:fill="auto"/>
                <w:lang w:val="en-US" w:eastAsia="zh-CN"/>
              </w:rPr>
            </w:pPr>
            <w:r>
              <w:rPr>
                <w:rFonts w:hint="eastAsia" w:ascii="宋体"/>
                <w:color w:val="auto"/>
                <w:sz w:val="24"/>
                <w:shd w:val="clear" w:color="auto" w:fill="auto"/>
                <w:lang w:val="en-US" w:eastAsia="zh-CN"/>
              </w:rPr>
              <w:t>0</w:t>
            </w:r>
          </w:p>
        </w:tc>
      </w:tr>
    </w:tbl>
    <w:p>
      <w:pPr>
        <w:spacing w:line="560" w:lineRule="exact"/>
        <w:ind w:firstLine="636" w:firstLineChars="199"/>
        <w:rPr>
          <w:rFonts w:hint="eastAsia" w:ascii="黑体" w:hAnsi="黑体" w:eastAsia="黑体" w:cs="宋体"/>
          <w:color w:val="auto"/>
          <w:sz w:val="32"/>
          <w:szCs w:val="32"/>
          <w:shd w:val="clear" w:color="auto" w:fill="auto"/>
        </w:rPr>
      </w:pPr>
      <w:r>
        <w:rPr>
          <w:rFonts w:hint="eastAsia" w:ascii="黑体" w:hAnsi="黑体" w:eastAsia="黑体" w:cs="宋体"/>
          <w:color w:val="auto"/>
          <w:sz w:val="32"/>
          <w:szCs w:val="32"/>
          <w:shd w:val="clear" w:color="auto" w:fill="auto"/>
        </w:rPr>
        <w:t>四、政府信息公开行政复议、行政诉讼情况</w:t>
      </w:r>
    </w:p>
    <w:tbl>
      <w:tblPr>
        <w:tblStyle w:val="4"/>
        <w:tblW w:w="85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2"/>
        <w:gridCol w:w="495"/>
        <w:gridCol w:w="510"/>
        <w:gridCol w:w="495"/>
        <w:gridCol w:w="555"/>
        <w:gridCol w:w="570"/>
        <w:gridCol w:w="525"/>
        <w:gridCol w:w="645"/>
        <w:gridCol w:w="555"/>
        <w:gridCol w:w="675"/>
        <w:gridCol w:w="645"/>
        <w:gridCol w:w="600"/>
        <w:gridCol w:w="600"/>
        <w:gridCol w:w="600"/>
        <w:gridCol w:w="5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255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行政复议</w:t>
            </w:r>
          </w:p>
        </w:tc>
        <w:tc>
          <w:tcPr>
            <w:tcW w:w="5947"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5" w:hRule="atLeast"/>
          <w:jc w:val="center"/>
        </w:trPr>
        <w:tc>
          <w:tcPr>
            <w:tcW w:w="502"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结果维持</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结果纠正</w:t>
            </w:r>
          </w:p>
        </w:tc>
        <w:tc>
          <w:tcPr>
            <w:tcW w:w="510"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其他结果</w:t>
            </w:r>
          </w:p>
        </w:tc>
        <w:tc>
          <w:tcPr>
            <w:tcW w:w="49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尚未审结</w:t>
            </w:r>
          </w:p>
        </w:tc>
        <w:tc>
          <w:tcPr>
            <w:tcW w:w="555"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计</w:t>
            </w:r>
          </w:p>
        </w:tc>
        <w:tc>
          <w:tcPr>
            <w:tcW w:w="2970"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未经复议直接起诉</w:t>
            </w:r>
          </w:p>
        </w:tc>
        <w:tc>
          <w:tcPr>
            <w:tcW w:w="2977" w:type="dxa"/>
            <w:gridSpan w:val="5"/>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jc w:val="center"/>
        </w:trPr>
        <w:tc>
          <w:tcPr>
            <w:tcW w:w="502" w:type="dxa"/>
            <w:vMerge w:val="continue"/>
            <w:tcBorders>
              <w:top w:val="nil"/>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49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510"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49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555"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cs="宋体"/>
                <w:color w:val="auto"/>
                <w:kern w:val="0"/>
                <w:sz w:val="24"/>
                <w:shd w:val="clear" w:color="auto" w:fill="auto"/>
                <w:lang w:bidi="ar"/>
              </w:rPr>
            </w:pP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结果维持</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结果纠正</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其他结果</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尚未审结</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bidi="ar"/>
              </w:rPr>
              <w:t>总计</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结果维持</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结果纠正</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其他结果</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尚未审结</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auto"/>
                <w:kern w:val="0"/>
                <w:sz w:val="24"/>
                <w:shd w:val="clear" w:color="auto" w:fill="auto"/>
                <w:lang w:bidi="ar"/>
              </w:rPr>
            </w:pPr>
            <w:r>
              <w:rPr>
                <w:rFonts w:hint="eastAsia" w:ascii="宋体" w:hAnsi="宋体" w:cs="宋体"/>
                <w:color w:val="auto"/>
                <w:kern w:val="0"/>
                <w:sz w:val="24"/>
                <w:shd w:val="clear" w:color="auto" w:fill="auto"/>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0" w:hRule="atLeast"/>
          <w:jc w:val="center"/>
        </w:trPr>
        <w:tc>
          <w:tcPr>
            <w:tcW w:w="50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51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49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57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55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64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6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c>
          <w:tcPr>
            <w:tcW w:w="532"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宋体" w:hAnsi="宋体" w:eastAsia="宋体" w:cs="宋体"/>
                <w:color w:val="auto"/>
                <w:kern w:val="0"/>
                <w:sz w:val="24"/>
                <w:shd w:val="clear" w:color="auto" w:fill="auto"/>
                <w:lang w:val="en-US" w:eastAsia="zh-CN" w:bidi="ar"/>
              </w:rPr>
            </w:pPr>
            <w:r>
              <w:rPr>
                <w:rFonts w:hint="eastAsia" w:ascii="宋体" w:hAnsi="宋体" w:cs="宋体"/>
                <w:color w:val="auto"/>
                <w:kern w:val="0"/>
                <w:sz w:val="24"/>
                <w:shd w:val="clear" w:color="auto" w:fill="auto"/>
                <w:lang w:val="en-US" w:eastAsia="zh-CN" w:bidi="ar"/>
              </w:rPr>
              <w:t>0</w:t>
            </w:r>
          </w:p>
        </w:tc>
      </w:tr>
    </w:tbl>
    <w:p>
      <w:pPr>
        <w:keepNext w:val="0"/>
        <w:keepLines w:val="0"/>
        <w:pageBreakBefore w:val="0"/>
        <w:widowControl w:val="0"/>
        <w:kinsoku/>
        <w:wordWrap/>
        <w:overflowPunct/>
        <w:topLinePunct w:val="0"/>
        <w:autoSpaceDE/>
        <w:autoSpaceDN/>
        <w:bidi w:val="0"/>
        <w:adjustRightInd/>
        <w:snapToGrid/>
        <w:spacing w:beforeAutospacing="0" w:afterAutospacing="0" w:line="590" w:lineRule="exact"/>
        <w:ind w:firstLine="640" w:firstLineChars="200"/>
        <w:textAlignment w:val="auto"/>
        <w:rPr>
          <w:rFonts w:hint="eastAsia" w:ascii="黑体" w:hAnsi="黑体" w:eastAsia="黑体" w:cs="宋体"/>
          <w:color w:val="auto"/>
          <w:sz w:val="32"/>
          <w:szCs w:val="32"/>
          <w:shd w:val="clear" w:color="auto" w:fill="auto"/>
        </w:rPr>
      </w:pPr>
      <w:r>
        <w:rPr>
          <w:rFonts w:hint="eastAsia" w:ascii="黑体" w:hAnsi="黑体" w:eastAsia="黑体" w:cs="宋体"/>
          <w:color w:val="auto"/>
          <w:sz w:val="32"/>
          <w:szCs w:val="32"/>
          <w:shd w:val="clear" w:color="auto" w:fill="auto"/>
        </w:rPr>
        <w:t>五、存在的主要问题及改进情况</w:t>
      </w:r>
    </w:p>
    <w:p>
      <w:pPr>
        <w:pStyle w:val="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楷体" w:hAnsi="楷体" w:eastAsia="楷体" w:cs="楷体"/>
          <w:b/>
          <w:bCs/>
          <w:i w:val="0"/>
          <w:caps w:val="0"/>
          <w:color w:val="auto"/>
          <w:spacing w:val="0"/>
          <w:sz w:val="32"/>
          <w:szCs w:val="32"/>
          <w:shd w:val="clear" w:color="auto" w:fill="auto"/>
          <w:lang w:val="en-US" w:eastAsia="zh-CN"/>
        </w:rPr>
      </w:pPr>
      <w:r>
        <w:rPr>
          <w:rFonts w:hint="eastAsia" w:ascii="楷体" w:hAnsi="楷体" w:eastAsia="楷体" w:cs="楷体"/>
          <w:b/>
          <w:bCs/>
          <w:i w:val="0"/>
          <w:caps w:val="0"/>
          <w:color w:val="auto"/>
          <w:spacing w:val="0"/>
          <w:sz w:val="32"/>
          <w:szCs w:val="32"/>
          <w:shd w:val="clear" w:color="auto" w:fill="auto"/>
          <w:lang w:eastAsia="zh-CN"/>
        </w:rPr>
        <w:t>（</w:t>
      </w:r>
      <w:r>
        <w:rPr>
          <w:rFonts w:hint="eastAsia" w:ascii="楷体" w:hAnsi="楷体" w:eastAsia="楷体" w:cs="楷体"/>
          <w:b/>
          <w:bCs/>
          <w:i w:val="0"/>
          <w:caps w:val="0"/>
          <w:color w:val="auto"/>
          <w:spacing w:val="0"/>
          <w:sz w:val="32"/>
          <w:szCs w:val="32"/>
          <w:shd w:val="clear" w:color="auto" w:fill="auto"/>
          <w:lang w:val="en-US" w:eastAsia="zh-CN"/>
        </w:rPr>
        <w:t>一</w:t>
      </w:r>
      <w:r>
        <w:rPr>
          <w:rFonts w:hint="eastAsia" w:ascii="楷体" w:hAnsi="楷体" w:eastAsia="楷体" w:cs="楷体"/>
          <w:b/>
          <w:bCs/>
          <w:i w:val="0"/>
          <w:caps w:val="0"/>
          <w:color w:val="auto"/>
          <w:spacing w:val="0"/>
          <w:sz w:val="32"/>
          <w:szCs w:val="32"/>
          <w:shd w:val="clear" w:color="auto" w:fill="auto"/>
          <w:lang w:eastAsia="zh-CN"/>
        </w:rPr>
        <w:t>）</w:t>
      </w:r>
      <w:r>
        <w:rPr>
          <w:rFonts w:hint="eastAsia" w:ascii="楷体" w:hAnsi="楷体" w:eastAsia="楷体" w:cs="楷体"/>
          <w:b/>
          <w:bCs/>
          <w:i w:val="0"/>
          <w:caps w:val="0"/>
          <w:color w:val="auto"/>
          <w:spacing w:val="0"/>
          <w:sz w:val="32"/>
          <w:szCs w:val="32"/>
          <w:shd w:val="clear" w:color="auto" w:fill="auto"/>
          <w:lang w:val="en-US" w:eastAsia="zh-CN"/>
        </w:rPr>
        <w:t>存在的主要问题</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仿宋_GB2312" w:hAnsi="仿宋_GB2312" w:eastAsia="仿宋_GB2312" w:cs="仿宋_GB2312"/>
          <w:b/>
          <w:bCs/>
          <w:i w:val="0"/>
          <w:caps w:val="0"/>
          <w:color w:val="auto"/>
          <w:spacing w:val="0"/>
          <w:sz w:val="32"/>
          <w:szCs w:val="32"/>
          <w:shd w:val="clear" w:color="auto" w:fill="auto"/>
        </w:rPr>
        <w:t>一是</w:t>
      </w:r>
      <w:r>
        <w:rPr>
          <w:rFonts w:hint="eastAsia" w:ascii="仿宋_GB2312" w:hAnsi="仿宋_GB2312" w:eastAsia="仿宋_GB2312" w:cs="仿宋_GB2312"/>
          <w:i w:val="0"/>
          <w:caps w:val="0"/>
          <w:color w:val="auto"/>
          <w:spacing w:val="0"/>
          <w:sz w:val="32"/>
          <w:szCs w:val="32"/>
          <w:shd w:val="clear" w:color="auto" w:fill="auto"/>
        </w:rPr>
        <w:t>主动公开的信息内容还不够完善，不够全面，部分信息的公开还不够及时，存在政务公开工作发展不平衡的问题。</w:t>
      </w:r>
      <w:r>
        <w:rPr>
          <w:rFonts w:hint="eastAsia" w:ascii="仿宋_GB2312" w:hAnsi="仿宋_GB2312" w:eastAsia="仿宋_GB2312" w:cs="仿宋_GB2312"/>
          <w:b/>
          <w:bCs/>
          <w:i w:val="0"/>
          <w:caps w:val="0"/>
          <w:color w:val="auto"/>
          <w:spacing w:val="0"/>
          <w:sz w:val="32"/>
          <w:szCs w:val="32"/>
          <w:shd w:val="clear" w:color="auto" w:fill="auto"/>
        </w:rPr>
        <w:t>二是</w:t>
      </w:r>
      <w:r>
        <w:rPr>
          <w:rFonts w:hint="eastAsia" w:ascii="仿宋_GB2312" w:hAnsi="仿宋_GB2312" w:eastAsia="仿宋_GB2312" w:cs="仿宋_GB2312"/>
          <w:i w:val="0"/>
          <w:caps w:val="0"/>
          <w:color w:val="auto"/>
          <w:spacing w:val="0"/>
          <w:sz w:val="32"/>
          <w:szCs w:val="32"/>
          <w:shd w:val="clear" w:color="auto" w:fill="auto"/>
        </w:rPr>
        <w:t>信息公开的内容有待进一步充实，时效性有待进一步提高；信息公开形式还需进一步丰富，信息公开程度还需要进一步拓展。</w:t>
      </w:r>
      <w:r>
        <w:rPr>
          <w:rFonts w:hint="eastAsia" w:ascii="仿宋_GB2312" w:hAnsi="仿宋_GB2312" w:eastAsia="仿宋_GB2312" w:cs="仿宋_GB2312"/>
          <w:b/>
          <w:bCs/>
          <w:i w:val="0"/>
          <w:caps w:val="0"/>
          <w:color w:val="auto"/>
          <w:spacing w:val="0"/>
          <w:sz w:val="32"/>
          <w:szCs w:val="32"/>
          <w:shd w:val="clear" w:color="auto" w:fill="auto"/>
        </w:rPr>
        <w:t>三是</w:t>
      </w:r>
      <w:r>
        <w:rPr>
          <w:rFonts w:hint="eastAsia" w:ascii="仿宋_GB2312" w:hAnsi="仿宋_GB2312" w:eastAsia="仿宋_GB2312" w:cs="仿宋_GB2312"/>
          <w:i w:val="0"/>
          <w:caps w:val="0"/>
          <w:color w:val="auto"/>
          <w:spacing w:val="0"/>
          <w:sz w:val="32"/>
          <w:szCs w:val="32"/>
          <w:shd w:val="clear" w:color="auto" w:fill="auto"/>
        </w:rPr>
        <w:t>信息公开的途径较单一，信息公开的工作人员的业务素质和能力还需要进一步提高。</w:t>
      </w:r>
    </w:p>
    <w:p>
      <w:pPr>
        <w:pStyle w:val="3"/>
        <w:keepNext w:val="0"/>
        <w:keepLines w:val="0"/>
        <w:pageBreakBefore w:val="0"/>
        <w:widowControl/>
        <w:numPr>
          <w:ilvl w:val="0"/>
          <w:numId w:val="0"/>
        </w:numPr>
        <w:suppressLineNumbers w:val="0"/>
        <w:shd w:val="clear" w:color="auto" w:fill="auto"/>
        <w:kinsoku/>
        <w:wordWrap/>
        <w:overflowPunct/>
        <w:topLinePunct w:val="0"/>
        <w:autoSpaceDE/>
        <w:autoSpaceDN/>
        <w:bidi w:val="0"/>
        <w:adjustRightInd/>
        <w:snapToGrid/>
        <w:spacing w:before="0" w:beforeAutospacing="0" w:after="0" w:afterAutospacing="0" w:line="560" w:lineRule="exact"/>
        <w:ind w:firstLine="643" w:firstLineChars="200"/>
        <w:textAlignment w:val="auto"/>
        <w:rPr>
          <w:rFonts w:hint="eastAsia" w:ascii="楷体" w:hAnsi="楷体" w:eastAsia="楷体" w:cs="楷体"/>
          <w:b/>
          <w:bCs/>
          <w:i w:val="0"/>
          <w:caps w:val="0"/>
          <w:color w:val="auto"/>
          <w:spacing w:val="0"/>
          <w:sz w:val="32"/>
          <w:szCs w:val="32"/>
          <w:shd w:val="clear" w:color="auto" w:fill="auto"/>
          <w:lang w:val="en-US" w:eastAsia="zh-CN"/>
        </w:rPr>
      </w:pPr>
      <w:r>
        <w:rPr>
          <w:rFonts w:hint="eastAsia" w:ascii="楷体" w:hAnsi="楷体" w:eastAsia="楷体" w:cs="楷体"/>
          <w:b/>
          <w:bCs/>
          <w:i w:val="0"/>
          <w:caps w:val="0"/>
          <w:color w:val="auto"/>
          <w:spacing w:val="0"/>
          <w:sz w:val="32"/>
          <w:szCs w:val="32"/>
          <w:shd w:val="clear" w:color="auto" w:fill="auto"/>
          <w:lang w:val="en-US" w:eastAsia="zh-CN"/>
        </w:rPr>
        <w:t>（二）改进措施</w:t>
      </w:r>
    </w:p>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3"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仿宋_GB2312" w:hAnsi="仿宋_GB2312" w:eastAsia="仿宋_GB2312" w:cs="仿宋_GB2312"/>
          <w:b/>
          <w:bCs/>
          <w:i w:val="0"/>
          <w:caps w:val="0"/>
          <w:color w:val="auto"/>
          <w:spacing w:val="0"/>
          <w:sz w:val="32"/>
          <w:szCs w:val="32"/>
          <w:shd w:val="clear" w:color="auto" w:fill="auto"/>
        </w:rPr>
        <w:t>一是</w:t>
      </w:r>
      <w:r>
        <w:rPr>
          <w:rFonts w:hint="eastAsia" w:ascii="仿宋_GB2312" w:hAnsi="仿宋_GB2312" w:eastAsia="仿宋_GB2312" w:cs="仿宋_GB2312"/>
          <w:i w:val="0"/>
          <w:caps w:val="0"/>
          <w:color w:val="auto"/>
          <w:spacing w:val="0"/>
          <w:sz w:val="32"/>
          <w:szCs w:val="32"/>
          <w:shd w:val="clear" w:color="auto" w:fill="auto"/>
        </w:rPr>
        <w:t>加强干部对政府信息公开工作意义、内容的理论学习并结合各岗位实际进行宣传，完善政府信息公开制度，进一步规范细化政府信息公开，确保网站栏目信息及时更新。</w:t>
      </w:r>
      <w:r>
        <w:rPr>
          <w:rFonts w:hint="eastAsia" w:ascii="仿宋_GB2312" w:hAnsi="仿宋_GB2312" w:eastAsia="仿宋_GB2312" w:cs="仿宋_GB2312"/>
          <w:b/>
          <w:bCs/>
          <w:i w:val="0"/>
          <w:caps w:val="0"/>
          <w:color w:val="auto"/>
          <w:spacing w:val="0"/>
          <w:sz w:val="32"/>
          <w:szCs w:val="32"/>
          <w:shd w:val="clear" w:color="auto" w:fill="auto"/>
        </w:rPr>
        <w:t>二是</w:t>
      </w:r>
      <w:r>
        <w:rPr>
          <w:rFonts w:hint="eastAsia" w:ascii="仿宋_GB2312" w:hAnsi="仿宋_GB2312" w:eastAsia="仿宋_GB2312" w:cs="仿宋_GB2312"/>
          <w:i w:val="0"/>
          <w:caps w:val="0"/>
          <w:color w:val="auto"/>
          <w:spacing w:val="0"/>
          <w:sz w:val="32"/>
          <w:szCs w:val="32"/>
          <w:shd w:val="clear" w:color="auto" w:fill="auto"/>
        </w:rPr>
        <w:t>加强监督，严把内容。对公开内容严格执行“三审三校”信息发布审核制度，由分管领导和主要领导进行把关，确保无失泄密事件发生。</w:t>
      </w:r>
      <w:r>
        <w:rPr>
          <w:rFonts w:hint="eastAsia" w:ascii="仿宋_GB2312" w:hAnsi="仿宋_GB2312" w:eastAsia="仿宋_GB2312" w:cs="仿宋_GB2312"/>
          <w:b/>
          <w:bCs/>
          <w:i w:val="0"/>
          <w:caps w:val="0"/>
          <w:color w:val="auto"/>
          <w:spacing w:val="0"/>
          <w:sz w:val="32"/>
          <w:szCs w:val="32"/>
          <w:shd w:val="clear" w:color="auto" w:fill="auto"/>
        </w:rPr>
        <w:t>三是</w:t>
      </w:r>
      <w:r>
        <w:rPr>
          <w:rFonts w:hint="eastAsia" w:ascii="仿宋_GB2312" w:hAnsi="仿宋_GB2312" w:eastAsia="仿宋_GB2312" w:cs="仿宋_GB2312"/>
          <w:i w:val="0"/>
          <w:caps w:val="0"/>
          <w:color w:val="auto"/>
          <w:spacing w:val="0"/>
          <w:sz w:val="32"/>
          <w:szCs w:val="32"/>
          <w:shd w:val="clear" w:color="auto" w:fill="auto"/>
        </w:rPr>
        <w:t>加强与群众之间的互动，以公开促服务，全力做好涉及专业性强、群众关注度高的规范性文件、重大决策事项的解读工作，方便群众理解信息。积极参加电子政务中心组织的政务公开相关业务培训，进一步提升工作人员信息公开工作水平。</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黑体" w:hAnsi="黑体" w:eastAsia="黑体" w:cs="宋体"/>
          <w:color w:val="auto"/>
          <w:sz w:val="32"/>
          <w:szCs w:val="32"/>
          <w:shd w:val="clear" w:color="auto" w:fill="auto"/>
        </w:rPr>
      </w:pPr>
      <w:r>
        <w:rPr>
          <w:rFonts w:hint="eastAsia" w:ascii="黑体" w:hAnsi="黑体" w:eastAsia="黑体" w:cs="宋体"/>
          <w:color w:val="auto"/>
          <w:sz w:val="32"/>
          <w:szCs w:val="32"/>
          <w:shd w:val="clear" w:color="auto" w:fill="auto"/>
        </w:rPr>
        <w:t>六、其他需要报告的事项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auto"/>
        </w:rPr>
      </w:pPr>
      <w:r>
        <w:rPr>
          <w:rFonts w:hint="eastAsia" w:ascii="仿宋_GB2312" w:hAnsi="仿宋_GB2312" w:eastAsia="仿宋_GB2312" w:cs="仿宋_GB2312"/>
          <w:i w:val="0"/>
          <w:caps w:val="0"/>
          <w:color w:val="auto"/>
          <w:spacing w:val="0"/>
          <w:sz w:val="32"/>
          <w:szCs w:val="32"/>
          <w:shd w:val="clear" w:color="auto" w:fill="auto"/>
          <w:lang w:val="en-US" w:eastAsia="zh-CN"/>
        </w:rPr>
        <w:t>玛热勒苏镇</w:t>
      </w:r>
      <w:r>
        <w:rPr>
          <w:rFonts w:hint="eastAsia" w:ascii="仿宋_GB2312" w:hAnsi="仿宋_GB2312" w:eastAsia="仿宋_GB2312" w:cs="仿宋_GB2312"/>
          <w:i w:val="0"/>
          <w:caps w:val="0"/>
          <w:color w:val="auto"/>
          <w:spacing w:val="0"/>
          <w:sz w:val="32"/>
          <w:szCs w:val="32"/>
          <w:shd w:val="clear" w:color="auto" w:fill="auto"/>
        </w:rPr>
        <w:t>按照《国务院办公厅关于印发&lt;政府信息公开信息处理费管理办法&gt;的通知》（国办函〔2020〕109号）规定的按件、按量收费标准，本年度没有产生信息公开处理费。</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color="auto" w:fill="auto"/>
        </w:rPr>
      </w:pP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jc w:val="right"/>
        <w:textAlignment w:val="auto"/>
        <w:rPr>
          <w:rFonts w:hint="eastAsia" w:ascii="Times New Roman" w:hAnsi="Times New Roman" w:eastAsia="仿宋_GB2312" w:cs="仿宋_GB2312"/>
          <w:color w:val="auto"/>
          <w:sz w:val="32"/>
          <w:szCs w:val="32"/>
          <w:shd w:val="clear" w:color="auto" w:fill="auto"/>
          <w:lang w:val="en-US" w:eastAsia="zh-CN"/>
        </w:rPr>
      </w:pPr>
      <w:r>
        <w:rPr>
          <w:rFonts w:hint="eastAsia" w:ascii="Times New Roman" w:hAnsi="Times New Roman" w:eastAsia="仿宋_GB2312" w:cs="仿宋_GB2312"/>
          <w:color w:val="auto"/>
          <w:sz w:val="32"/>
          <w:szCs w:val="32"/>
          <w:shd w:val="clear" w:color="auto" w:fill="auto"/>
          <w:lang w:val="en-US" w:eastAsia="zh-CN"/>
        </w:rPr>
        <w:t>额敏县玛热勒苏镇人民政府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center"/>
        <w:textAlignment w:val="auto"/>
      </w:pPr>
      <w:r>
        <w:rPr>
          <w:rFonts w:hint="eastAsia" w:ascii="Times New Roman" w:hAnsi="Times New Roman" w:eastAsia="仿宋_GB2312" w:cs="仿宋_GB2312"/>
          <w:color w:val="auto"/>
          <w:sz w:val="32"/>
          <w:szCs w:val="32"/>
          <w:shd w:val="clear" w:color="auto" w:fill="auto"/>
          <w:lang w:val="en-US" w:eastAsia="zh-CN"/>
        </w:rPr>
        <w:t xml:space="preserve">                             2025年2月10日</w:t>
      </w:r>
    </w:p>
    <w:sectPr>
      <w:footerReference r:id="rId3" w:type="default"/>
      <w:pgSz w:w="11906" w:h="16838"/>
      <w:pgMar w:top="1928" w:right="1531" w:bottom="1417" w:left="1531" w:header="851" w:footer="992" w:gutter="0"/>
      <w:pgNumType w:fmt="decimal" w:start="4"/>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d85RhbIB&#10;AABZAwAADgAAAAAAAAABACAAAAAeAQAAZHJzL2Uyb0RvYy54bWxQSwUGAAAAAAYABgBZAQAAQgUA&#10;AAAA&#10;">
              <v:fill on="f" focussize="0,0"/>
              <v:stroke on="f"/>
              <v:imagedata o:title=""/>
              <o:lock v:ext="edit" aspectratio="f"/>
              <v:textbox inset="0mm,0mm,0mm,0mm" style="mso-fit-shape-to-text:t;">
                <w:txbxContent>
                  <w:p>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2</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25347AC"/>
    <w:multiLevelType w:val="singleLevel"/>
    <w:tmpl w:val="A25347A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6AEAA9"/>
    <w:rsid w:val="053C26D0"/>
    <w:rsid w:val="085D74D1"/>
    <w:rsid w:val="0D287F37"/>
    <w:rsid w:val="196AEAA9"/>
    <w:rsid w:val="1DBA4BAA"/>
    <w:rsid w:val="27406622"/>
    <w:rsid w:val="2E105A2E"/>
    <w:rsid w:val="2F8C0AE3"/>
    <w:rsid w:val="3C322284"/>
    <w:rsid w:val="49301DAD"/>
    <w:rsid w:val="49635D7F"/>
    <w:rsid w:val="50EF03BE"/>
    <w:rsid w:val="52D50AC5"/>
    <w:rsid w:val="55D470E2"/>
    <w:rsid w:val="5721514E"/>
    <w:rsid w:val="57C84C8B"/>
    <w:rsid w:val="691542ED"/>
    <w:rsid w:val="6ACD1E78"/>
    <w:rsid w:val="6F77033B"/>
    <w:rsid w:val="7A265389"/>
    <w:rsid w:val="7D8C2ACE"/>
    <w:rsid w:val="7DE373A0"/>
    <w:rsid w:val="FDFE9EA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jc w:val="left"/>
    </w:pPr>
    <w:rPr>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2023-12-28T20:35:00Z</dcterms:created>
  <dc:creator>zfbgt</dc:creator>
  <cp:lastModifiedBy>Administrator</cp:lastModifiedBy>
  <cp:lastPrinted>2025-02-19T01:59:16Z</cp:lastPrinted>
  <dcterms:modified xsi:type="dcterms:W3CDTF">2025-02-20T04:51:46Z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9F389D52AADA47AF9356E6279161B6FA</vt:lpwstr>
  </property>
</Properties>
</file>