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_GB2312" w:eastAsia="方正小标宋_GBK" w:cs="仿宋_GB2312"/>
          <w:color w:val="auto"/>
          <w:sz w:val="44"/>
          <w:szCs w:val="44"/>
        </w:rPr>
      </w:pPr>
      <w:bookmarkStart w:id="0" w:name="_GoBack"/>
      <w:bookmarkEnd w:id="0"/>
      <w:r>
        <w:rPr>
          <w:rFonts w:hint="eastAsia" w:ascii="方正小标宋_GBK" w:hAnsi="仿宋_GB2312" w:eastAsia="方正小标宋_GBK" w:cs="仿宋_GB2312"/>
          <w:color w:val="auto"/>
          <w:sz w:val="44"/>
          <w:szCs w:val="44"/>
          <w:lang w:eastAsia="zh-CN"/>
        </w:rPr>
        <w:t>额敏县教育和科学技术局</w:t>
      </w:r>
      <w:r>
        <w:rPr>
          <w:rFonts w:hint="eastAsia" w:ascii="方正小标宋_GBK" w:hAnsi="仿宋_GB2312" w:eastAsia="方正小标宋_GBK" w:cs="仿宋_GB2312"/>
          <w:color w:val="auto"/>
          <w:sz w:val="44"/>
          <w:szCs w:val="44"/>
          <w:lang w:val="en-US" w:eastAsia="zh-CN"/>
        </w:rPr>
        <w:t>2024年</w:t>
      </w:r>
      <w:r>
        <w:rPr>
          <w:rFonts w:hint="eastAsia" w:ascii="方正小标宋_GBK" w:hAnsi="仿宋_GB2312" w:eastAsia="方正小标宋_GBK" w:cs="仿宋_GB2312"/>
          <w:color w:val="auto"/>
          <w:sz w:val="44"/>
          <w:szCs w:val="44"/>
        </w:rPr>
        <w:t>政府信息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_GB2312" w:eastAsia="方正小标宋_GBK" w:cs="仿宋_GB2312"/>
          <w:color w:val="auto"/>
          <w:sz w:val="44"/>
          <w:szCs w:val="44"/>
          <w:lang w:eastAsia="zh-CN"/>
        </w:rPr>
      </w:pPr>
      <w:r>
        <w:rPr>
          <w:rFonts w:hint="eastAsia" w:ascii="方正小标宋_GBK" w:hAnsi="仿宋_GB2312" w:eastAsia="方正小标宋_GBK" w:cs="仿宋_GB2312"/>
          <w:color w:val="auto"/>
          <w:sz w:val="44"/>
          <w:szCs w:val="44"/>
        </w:rPr>
        <w:t>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仿宋_GB2312" w:eastAsia="方正小标宋_GBK" w:cs="仿宋_GB2312"/>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sz w:val="32"/>
          <w:szCs w:val="32"/>
          <w:lang w:val="en-US" w:eastAsia="zh-CN"/>
        </w:rPr>
        <w:t>本报告根据《中华人民共和国政府信息公开条例》（国务院令第711号）、《关于印发&lt;中华人民共和国政府信息公开工作年度报告格式&gt;的通知》（国办公开办函〔2021〕30号）、地区《关于做好2024年政府信息公开工作年度报告编制发布工作的通知》要求编制。报告全文包括总体情况、主动公开政府信息情况、收到和处理政府信息公开申请情况、因政府信息公开工作被申请行政复议和提起行政诉讼情况、政府信息公开存在的主要问题及改进情况，以及其他需要报告的事项六个部分。报告统计期限为2024年1月1日至2024年12月31日</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如对本报告有疑问，请与额敏县教育和科学技术局办公室联系（地址：额敏县阿尔夏特路120号；邮编834600；电话及传真：0901-3352216）。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2024年度，</w:t>
      </w:r>
      <w:r>
        <w:rPr>
          <w:rFonts w:hint="eastAsia" w:ascii="仿宋_GB2312" w:hAnsi="仿宋_GB2312" w:eastAsia="仿宋_GB2312" w:cs="仿宋_GB2312"/>
          <w:color w:val="auto"/>
          <w:sz w:val="32"/>
          <w:szCs w:val="32"/>
          <w:lang w:eastAsia="zh-CN"/>
        </w:rPr>
        <w:t>在县委县</w:t>
      </w:r>
      <w:r>
        <w:rPr>
          <w:rFonts w:hint="eastAsia" w:ascii="仿宋_GB2312" w:hAnsi="仿宋_GB2312" w:eastAsia="仿宋_GB2312" w:cs="仿宋_GB2312"/>
          <w:color w:val="auto"/>
          <w:sz w:val="32"/>
          <w:szCs w:val="32"/>
        </w:rPr>
        <w:t>政府的坚强领导下，</w:t>
      </w:r>
      <w:r>
        <w:rPr>
          <w:rFonts w:hint="eastAsia" w:ascii="仿宋_GB2312" w:hAnsi="仿宋_GB2312" w:eastAsia="仿宋_GB2312" w:cs="仿宋_GB2312"/>
          <w:color w:val="auto"/>
          <w:sz w:val="32"/>
          <w:szCs w:val="32"/>
          <w:lang w:eastAsia="zh-CN"/>
        </w:rPr>
        <w:t>额敏县教科局</w:t>
      </w:r>
      <w:r>
        <w:rPr>
          <w:rFonts w:hint="eastAsia" w:ascii="仿宋_GB2312" w:hAnsi="仿宋_GB2312" w:eastAsia="仿宋_GB2312" w:cs="仿宋_GB2312"/>
          <w:color w:val="auto"/>
          <w:sz w:val="32"/>
          <w:szCs w:val="32"/>
        </w:rPr>
        <w:t>紧紧围绕教育工作中心任务，教育改革发展大局，完善工作机制，创新公开渠道，认真做好政府信息公开发布，持续推进政府信息公开标准化、规范化，秉持“公开为常态，不公开为例外”原则，全方位拓展教育信息公开的广度与深度，全力提升教育工作透明度与公信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（一）主动公开。</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eastAsia="zh-CN"/>
        </w:rPr>
        <w:t>，额敏县教科局坚持以“公开为常态、不公开为例外”的原则，全年</w:t>
      </w:r>
      <w:r>
        <w:rPr>
          <w:rFonts w:hint="eastAsia" w:ascii="仿宋_GB2312" w:hAnsi="仿宋_GB2312" w:eastAsia="仿宋_GB2312" w:cs="仿宋_GB2312"/>
          <w:color w:val="auto"/>
          <w:sz w:val="32"/>
          <w:szCs w:val="32"/>
        </w:rPr>
        <w:t>在政府网站</w:t>
      </w:r>
      <w:r>
        <w:rPr>
          <w:rFonts w:hint="eastAsia" w:ascii="仿宋_GB2312" w:hAnsi="仿宋_GB2312" w:eastAsia="仿宋_GB2312" w:cs="仿宋_GB2312"/>
          <w:color w:val="auto"/>
          <w:sz w:val="32"/>
          <w:szCs w:val="32"/>
          <w:lang w:eastAsia="zh-CN"/>
        </w:rPr>
        <w:t>、额敏县教育之声公众号</w:t>
      </w:r>
      <w:r>
        <w:rPr>
          <w:rFonts w:hint="eastAsia" w:ascii="仿宋_GB2312" w:hAnsi="仿宋_GB2312" w:eastAsia="仿宋_GB2312" w:cs="仿宋_GB2312"/>
          <w:color w:val="auto"/>
          <w:sz w:val="32"/>
          <w:szCs w:val="32"/>
        </w:rPr>
        <w:t>栏目共发布、修改各类信息</w:t>
      </w:r>
      <w:r>
        <w:rPr>
          <w:rFonts w:hint="eastAsia" w:ascii="仿宋_GB2312" w:hAnsi="仿宋_GB2312" w:eastAsia="仿宋_GB2312" w:cs="仿宋_GB2312"/>
          <w:color w:val="auto"/>
          <w:sz w:val="32"/>
          <w:szCs w:val="32"/>
          <w:lang w:val="en-US" w:eastAsia="zh-CN"/>
        </w:rPr>
        <w:t>583</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阅读点击量累计</w:t>
      </w:r>
      <w:r>
        <w:rPr>
          <w:rFonts w:hint="eastAsia" w:ascii="仿宋_GB2312" w:hAnsi="仿宋_GB2312" w:eastAsia="仿宋_GB2312" w:cs="仿宋_GB2312"/>
          <w:color w:val="auto"/>
          <w:sz w:val="32"/>
          <w:szCs w:val="32"/>
          <w:lang w:val="en-US" w:eastAsia="zh-CN"/>
        </w:rPr>
        <w:t>31.77万次，</w:t>
      </w:r>
      <w:r>
        <w:rPr>
          <w:rFonts w:hint="eastAsia" w:ascii="仿宋_GB2312" w:hAnsi="仿宋_GB2312" w:eastAsia="仿宋_GB2312" w:cs="仿宋_GB2312"/>
          <w:color w:val="auto"/>
          <w:sz w:val="32"/>
          <w:szCs w:val="32"/>
        </w:rPr>
        <w:t>无依申请公开和不予以公开信息。主动公开政府信息主要有：义务教育</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通知公告</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动态类信息</w:t>
      </w:r>
      <w:r>
        <w:rPr>
          <w:rFonts w:hint="eastAsia" w:ascii="仿宋_GB2312" w:hAnsi="仿宋_GB2312" w:eastAsia="仿宋_GB2312" w:cs="仿宋_GB2312"/>
          <w:color w:val="auto"/>
          <w:sz w:val="32"/>
          <w:szCs w:val="32"/>
          <w:lang w:val="en-US" w:eastAsia="zh-CN"/>
        </w:rPr>
        <w:t>558</w:t>
      </w:r>
      <w:r>
        <w:rPr>
          <w:rFonts w:hint="eastAsia" w:ascii="仿宋_GB2312" w:hAnsi="仿宋_GB2312" w:eastAsia="仿宋_GB2312" w:cs="仿宋_GB2312"/>
          <w:color w:val="auto"/>
          <w:sz w:val="32"/>
          <w:szCs w:val="32"/>
        </w:rPr>
        <w:t>条。在本年度做到公开范围全面、公开方式明确、公开程序实用、公开及时准确。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sz w:val="32"/>
          <w:szCs w:val="32"/>
        </w:rPr>
        <w:t>（二）依申请公开</w:t>
      </w:r>
      <w:r>
        <w:rPr>
          <w:rFonts w:hint="eastAsia" w:ascii="仿宋_GB2312" w:hAnsi="仿宋_GB2312" w:eastAsia="仿宋_GB2312" w:cs="仿宋_GB2312"/>
          <w:b/>
          <w:bCs/>
          <w:color w:val="auto"/>
          <w:sz w:val="32"/>
          <w:szCs w:val="32"/>
          <w:lang w:eastAsia="zh-CN"/>
        </w:rPr>
        <w:t>情况</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畅通受理渠道、精准规范答复意见，进一步提升依申请公开办理质量。</w:t>
      </w:r>
      <w:r>
        <w:rPr>
          <w:rFonts w:hint="eastAsia" w:ascii="仿宋_GB2312" w:hAnsi="仿宋_GB2312" w:eastAsia="仿宋_GB2312" w:cs="仿宋_GB2312"/>
          <w:b w:val="0"/>
          <w:bCs w:val="0"/>
          <w:sz w:val="32"/>
          <w:szCs w:val="32"/>
          <w:lang w:val="en-US" w:eastAsia="zh-CN"/>
        </w:rPr>
        <w:t>2024年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额敏县教育和科学技术局</w:t>
      </w:r>
      <w:r>
        <w:rPr>
          <w:rFonts w:hint="eastAsia" w:ascii="仿宋_GB2312" w:hAnsi="仿宋_GB2312" w:eastAsia="仿宋_GB2312" w:cs="仿宋_GB2312"/>
          <w:b w:val="0"/>
          <w:bCs w:val="0"/>
          <w:sz w:val="32"/>
          <w:szCs w:val="32"/>
          <w:lang w:val="en-US" w:eastAsia="zh-CN"/>
        </w:rPr>
        <w:t>未收到依申请公开及政府信息公开方面的行政复议和行政诉讼备案，未收到信息公开举报投诉案件。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（三）政府信息管理</w:t>
      </w:r>
      <w:r>
        <w:rPr>
          <w:rFonts w:hint="eastAsia" w:ascii="仿宋_GB2312" w:hAnsi="仿宋_GB2312" w:eastAsia="仿宋_GB2312" w:cs="仿宋_GB2312"/>
          <w:b/>
          <w:bCs/>
          <w:color w:val="auto"/>
          <w:sz w:val="32"/>
          <w:szCs w:val="32"/>
          <w:lang w:eastAsia="zh-CN"/>
        </w:rPr>
        <w:t>情况</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严格遵循《中华人民共和国政府信息公开条例》要求，</w:t>
      </w:r>
      <w:r>
        <w:rPr>
          <w:rFonts w:hint="eastAsia" w:ascii="仿宋_GB2312" w:hAnsi="仿宋_GB2312" w:eastAsia="仿宋_GB2312" w:cs="仿宋_GB2312"/>
          <w:color w:val="auto"/>
          <w:sz w:val="32"/>
          <w:szCs w:val="32"/>
          <w:lang w:eastAsia="zh-CN"/>
        </w:rPr>
        <w:t>健全完善信息公开保密审查制度。按照“谁发布、谁审核、谁负责”的原则，</w:t>
      </w:r>
      <w:r>
        <w:rPr>
          <w:rFonts w:hint="eastAsia" w:ascii="仿宋_GB2312" w:hAnsi="仿宋_GB2312" w:eastAsia="仿宋_GB2312" w:cs="仿宋_GB2312"/>
          <w:color w:val="auto"/>
          <w:sz w:val="32"/>
          <w:szCs w:val="32"/>
        </w:rPr>
        <w:t>严格执行“三审</w:t>
      </w:r>
      <w:r>
        <w:rPr>
          <w:rFonts w:hint="eastAsia" w:ascii="仿宋_GB2312" w:hAnsi="仿宋_GB2312" w:eastAsia="仿宋_GB2312" w:cs="仿宋_GB2312"/>
          <w:color w:val="auto"/>
          <w:sz w:val="32"/>
          <w:szCs w:val="32"/>
          <w:lang w:eastAsia="zh-CN"/>
        </w:rPr>
        <w:t>三校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信息发布</w:t>
      </w:r>
      <w:r>
        <w:rPr>
          <w:rFonts w:hint="eastAsia" w:ascii="仿宋_GB2312" w:hAnsi="仿宋_GB2312" w:eastAsia="仿宋_GB2312" w:cs="仿宋_GB2312"/>
          <w:color w:val="auto"/>
          <w:sz w:val="32"/>
          <w:szCs w:val="32"/>
        </w:rPr>
        <w:t>制度，对上网信息层层把关，保障公开信息的精准、权威、完整且及时。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（四）平台建设</w:t>
      </w:r>
      <w:r>
        <w:rPr>
          <w:rFonts w:hint="eastAsia" w:ascii="仿宋_GB2312" w:hAnsi="仿宋_GB2312" w:eastAsia="仿宋_GB2312" w:cs="仿宋_GB2312"/>
          <w:b/>
          <w:bCs/>
          <w:color w:val="auto"/>
          <w:sz w:val="32"/>
          <w:szCs w:val="32"/>
          <w:lang w:eastAsia="zh-CN"/>
        </w:rPr>
        <w:t>情况</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额敏县教科局</w:t>
      </w:r>
      <w:r>
        <w:rPr>
          <w:rFonts w:hint="eastAsia" w:ascii="仿宋_GB2312" w:hAnsi="仿宋_GB2312" w:eastAsia="仿宋_GB2312" w:cs="仿宋_GB2312"/>
          <w:color w:val="auto"/>
          <w:sz w:val="32"/>
          <w:szCs w:val="32"/>
        </w:rPr>
        <w:t>现有微信公众号一个，</w:t>
      </w:r>
      <w:r>
        <w:rPr>
          <w:rFonts w:hint="eastAsia" w:ascii="仿宋_GB2312" w:hAnsi="仿宋_GB2312" w:eastAsia="仿宋_GB2312" w:cs="仿宋_GB2312"/>
          <w:color w:val="auto"/>
          <w:sz w:val="32"/>
          <w:szCs w:val="32"/>
          <w:lang w:eastAsia="zh-CN"/>
        </w:rPr>
        <w:t>教科局</w:t>
      </w:r>
      <w:r>
        <w:rPr>
          <w:rFonts w:hint="eastAsia" w:ascii="仿宋_GB2312" w:hAnsi="仿宋_GB2312" w:eastAsia="仿宋_GB2312" w:cs="仿宋_GB2312"/>
          <w:color w:val="auto"/>
          <w:sz w:val="32"/>
          <w:szCs w:val="32"/>
        </w:rPr>
        <w:t>不断完善政府信息公开审查机制，确保政府信息公开的合法性，同时，借助新媒体平台优势，及时准确向公众传达教育的重要信息，微信公众号全年共发布信息</w:t>
      </w:r>
      <w:r>
        <w:rPr>
          <w:rFonts w:hint="eastAsia" w:ascii="仿宋_GB2312" w:hAnsi="仿宋_GB2312" w:eastAsia="仿宋_GB2312" w:cs="仿宋_GB2312"/>
          <w:color w:val="auto"/>
          <w:sz w:val="32"/>
          <w:szCs w:val="32"/>
          <w:lang w:val="en-US" w:eastAsia="zh-CN"/>
        </w:rPr>
        <w:t>573</w:t>
      </w:r>
      <w:r>
        <w:rPr>
          <w:rFonts w:hint="eastAsia" w:ascii="仿宋_GB2312" w:hAnsi="仿宋_GB2312" w:eastAsia="仿宋_GB2312" w:cs="仿宋_GB2312"/>
          <w:color w:val="auto"/>
          <w:sz w:val="32"/>
          <w:szCs w:val="32"/>
        </w:rPr>
        <w:t>条，通过媒体融合，结合线下，全方位地提供权威的教育咨询和方便快捷的教育服务。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（五）监督保障</w:t>
      </w:r>
      <w:r>
        <w:rPr>
          <w:rFonts w:hint="eastAsia" w:ascii="仿宋_GB2312" w:hAnsi="仿宋_GB2312" w:eastAsia="仿宋_GB2312" w:cs="仿宋_GB2312"/>
          <w:b/>
          <w:bCs/>
          <w:color w:val="auto"/>
          <w:sz w:val="32"/>
          <w:szCs w:val="32"/>
          <w:lang w:eastAsia="zh-CN"/>
        </w:rPr>
        <w:t>情况</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严格执行信息发布审核、强化对信息发布的审核把关。积极参加上级组织的政务公开培训，及时传达贯彻，确保政务公开工作得到有效落实。2024年全年未出现因不履行政务公开义务而发生的责任追究的情况。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二、主动公开政府信息情况</w:t>
      </w: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2"/>
        <w:gridCol w:w="2200"/>
        <w:gridCol w:w="1803"/>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信息内容</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本年制</w:t>
            </w:r>
            <w:r>
              <w:rPr>
                <w:rFonts w:hint="eastAsia" w:ascii="黑体" w:hAnsi="黑体" w:eastAsia="黑体" w:cs="黑体"/>
                <w:color w:val="auto"/>
                <w:sz w:val="24"/>
                <w:szCs w:val="24"/>
                <w:lang w:eastAsia="zh-CN"/>
              </w:rPr>
              <w:t>发件数</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本年</w:t>
            </w:r>
            <w:r>
              <w:rPr>
                <w:rFonts w:hint="eastAsia" w:ascii="黑体" w:hAnsi="黑体" w:eastAsia="黑体" w:cs="黑体"/>
                <w:color w:val="auto"/>
                <w:sz w:val="24"/>
                <w:szCs w:val="24"/>
                <w:lang w:eastAsia="zh-CN"/>
              </w:rPr>
              <w:t>废止件数</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color w:val="auto"/>
                <w:sz w:val="24"/>
                <w:szCs w:val="24"/>
              </w:rPr>
            </w:pPr>
            <w:r>
              <w:rPr>
                <w:rFonts w:hint="eastAsia"/>
                <w:color w:val="auto"/>
                <w:sz w:val="24"/>
                <w:szCs w:val="24"/>
              </w:rPr>
              <w:t>规章</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lang w:val="en-US" w:eastAsia="zh-CN"/>
              </w:rPr>
            </w:pPr>
            <w:r>
              <w:rPr>
                <w:rFonts w:hint="eastAsia"/>
                <w:color w:val="auto"/>
                <w:sz w:val="24"/>
                <w:szCs w:val="24"/>
                <w:lang w:val="en-US" w:eastAsia="zh-CN"/>
              </w:rPr>
              <w:t>0</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lang w:val="en-US" w:eastAsia="zh-CN"/>
              </w:rPr>
            </w:pPr>
            <w:r>
              <w:rPr>
                <w:rFonts w:hint="eastAsia"/>
                <w:color w:val="auto"/>
                <w:sz w:val="24"/>
                <w:szCs w:val="24"/>
                <w:lang w:val="en-US" w:eastAsia="zh-CN"/>
              </w:rPr>
              <w:t>0</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color w:val="auto"/>
                <w:sz w:val="24"/>
                <w:szCs w:val="24"/>
              </w:rPr>
            </w:pPr>
            <w:r>
              <w:rPr>
                <w:rFonts w:hint="eastAsia"/>
                <w:color w:val="auto"/>
                <w:sz w:val="24"/>
                <w:szCs w:val="24"/>
              </w:rPr>
              <w:t>规范性文件</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lang w:val="en-US" w:eastAsia="zh-CN"/>
              </w:rPr>
            </w:pPr>
            <w:r>
              <w:rPr>
                <w:rFonts w:hint="eastAsia"/>
                <w:color w:val="auto"/>
                <w:sz w:val="24"/>
                <w:szCs w:val="24"/>
                <w:lang w:val="en-US" w:eastAsia="zh-CN"/>
              </w:rPr>
              <w:t>0</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lang w:val="en-US" w:eastAsia="zh-CN"/>
              </w:rPr>
            </w:pPr>
            <w:r>
              <w:rPr>
                <w:rFonts w:hint="eastAsia"/>
                <w:color w:val="auto"/>
                <w:sz w:val="24"/>
                <w:szCs w:val="24"/>
                <w:lang w:val="en-US" w:eastAsia="zh-CN"/>
              </w:rPr>
              <w:t>0</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color w:val="auto"/>
                <w:sz w:val="24"/>
                <w:szCs w:val="24"/>
              </w:rPr>
            </w:pPr>
            <w:r>
              <w:rPr>
                <w:rFonts w:hint="eastAsia"/>
                <w:color w:val="auto"/>
                <w:sz w:val="24"/>
                <w:szCs w:val="24"/>
              </w:rPr>
              <w:t>行政许可</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color w:val="auto"/>
                <w:sz w:val="24"/>
                <w:szCs w:val="24"/>
              </w:rPr>
            </w:pPr>
            <w:r>
              <w:rPr>
                <w:rFonts w:hint="eastAsia"/>
                <w:color w:val="auto"/>
                <w:sz w:val="24"/>
                <w:szCs w:val="24"/>
              </w:rPr>
              <w:t>行政处罚</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color w:val="auto"/>
                <w:sz w:val="24"/>
                <w:szCs w:val="24"/>
              </w:rPr>
            </w:pPr>
            <w:r>
              <w:rPr>
                <w:rFonts w:hint="eastAsia"/>
                <w:color w:val="auto"/>
                <w:sz w:val="24"/>
                <w:szCs w:val="24"/>
              </w:rPr>
              <w:t>行政强制</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color w:val="auto"/>
                <w:sz w:val="24"/>
                <w:szCs w:val="24"/>
              </w:rPr>
            </w:pPr>
            <w:r>
              <w:rPr>
                <w:rFonts w:hint="eastAsia"/>
                <w:color w:val="auto"/>
                <w:sz w:val="24"/>
                <w:szCs w:val="24"/>
              </w:rPr>
              <w:t>行政事业性收费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4"/>
                <w:szCs w:val="24"/>
              </w:rPr>
            </w:pPr>
            <w:r>
              <w:rPr>
                <w:rFonts w:hint="eastAsia"/>
                <w:color w:val="auto"/>
                <w:sz w:val="24"/>
                <w:szCs w:val="24"/>
              </w:rPr>
              <w:t>78</w:t>
            </w:r>
            <w:r>
              <w:rPr>
                <w:rFonts w:hint="eastAsia"/>
                <w:color w:val="auto"/>
                <w:sz w:val="24"/>
                <w:szCs w:val="24"/>
                <w:lang w:val="en-US" w:eastAsia="zh-CN"/>
              </w:rPr>
              <w:t>.</w:t>
            </w:r>
            <w:r>
              <w:rPr>
                <w:rFonts w:hint="eastAsia"/>
                <w:color w:val="auto"/>
                <w:sz w:val="24"/>
                <w:szCs w:val="24"/>
              </w:rPr>
              <w:t>1561</w:t>
            </w:r>
          </w:p>
        </w:tc>
      </w:tr>
    </w:tbl>
    <w:p>
      <w:pPr>
        <w:pStyle w:val="4"/>
        <w:widowControl/>
        <w:spacing w:before="0" w:beforeAutospacing="0" w:after="0" w:afterAutospacing="0" w:line="560" w:lineRule="exact"/>
        <w:ind w:firstLine="640" w:firstLineChars="200"/>
        <w:jc w:val="both"/>
        <w:rPr>
          <w:rFonts w:hint="eastAsia" w:ascii="黑体" w:hAnsi="黑体" w:eastAsia="黑体" w:cs="黑体"/>
          <w:color w:val="auto"/>
          <w:sz w:val="32"/>
          <w:szCs w:val="30"/>
        </w:rPr>
      </w:pPr>
      <w:r>
        <w:rPr>
          <w:rFonts w:hint="eastAsia" w:ascii="黑体" w:hAnsi="黑体" w:eastAsia="黑体" w:cs="黑体"/>
          <w:color w:val="auto"/>
          <w:sz w:val="32"/>
          <w:szCs w:val="30"/>
        </w:rPr>
        <w:t>三、收到和处理政府信息公开申请情况</w:t>
      </w:r>
    </w:p>
    <w:tbl>
      <w:tblPr>
        <w:tblStyle w:val="5"/>
        <w:tblW w:w="9055"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7"/>
        <w:gridCol w:w="1009"/>
        <w:gridCol w:w="2979"/>
        <w:gridCol w:w="491"/>
        <w:gridCol w:w="703"/>
        <w:gridCol w:w="703"/>
        <w:gridCol w:w="703"/>
        <w:gridCol w:w="703"/>
        <w:gridCol w:w="514"/>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restart"/>
            <w:noWrap w:val="0"/>
            <w:tcMar>
              <w:left w:w="108" w:type="dxa"/>
              <w:right w:w="108" w:type="dxa"/>
            </w:tcMar>
            <w:vAlign w:val="center"/>
          </w:tcPr>
          <w:p>
            <w:pPr>
              <w:rPr>
                <w:rFonts w:hint="eastAsia" w:ascii="黑体" w:hAnsi="黑体" w:eastAsia="黑体" w:cs="黑体"/>
                <w:color w:val="auto"/>
                <w:sz w:val="24"/>
                <w:szCs w:val="24"/>
              </w:rPr>
            </w:pPr>
            <w:r>
              <w:rPr>
                <w:rFonts w:hint="eastAsia" w:ascii="黑体" w:hAnsi="黑体" w:eastAsia="黑体" w:cs="黑体"/>
                <w:color w:val="auto"/>
                <w:sz w:val="24"/>
                <w:szCs w:val="24"/>
              </w:rPr>
              <w:t>（本列数据的勾稽关系为：第一项加第二项之和，等于第三项加第四项之和）</w:t>
            </w:r>
          </w:p>
        </w:tc>
        <w:tc>
          <w:tcPr>
            <w:tcW w:w="4320" w:type="dxa"/>
            <w:gridSpan w:val="7"/>
            <w:noWrap w:val="0"/>
            <w:tcMar>
              <w:left w:w="108" w:type="dxa"/>
              <w:right w:w="108" w:type="dxa"/>
            </w:tcMar>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continue"/>
            <w:noWrap w:val="0"/>
            <w:tcMar>
              <w:left w:w="108" w:type="dxa"/>
              <w:right w:w="108" w:type="dxa"/>
            </w:tcMar>
            <w:vAlign w:val="center"/>
          </w:tcPr>
          <w:p>
            <w:pPr>
              <w:rPr>
                <w:rFonts w:hint="eastAsia" w:ascii="黑体" w:hAnsi="黑体" w:eastAsia="黑体" w:cs="黑体"/>
                <w:color w:val="auto"/>
                <w:sz w:val="24"/>
                <w:szCs w:val="24"/>
              </w:rPr>
            </w:pPr>
          </w:p>
        </w:tc>
        <w:tc>
          <w:tcPr>
            <w:tcW w:w="491" w:type="dxa"/>
            <w:vMerge w:val="restart"/>
            <w:noWrap w:val="0"/>
            <w:tcMar>
              <w:left w:w="108" w:type="dxa"/>
              <w:right w:w="108" w:type="dxa"/>
            </w:tcMar>
            <w:vAlign w:val="center"/>
          </w:tcPr>
          <w:p>
            <w:pPr>
              <w:rPr>
                <w:rFonts w:hint="eastAsia" w:ascii="黑体" w:hAnsi="黑体" w:eastAsia="黑体" w:cs="黑体"/>
                <w:color w:val="auto"/>
                <w:sz w:val="24"/>
                <w:szCs w:val="24"/>
              </w:rPr>
            </w:pPr>
            <w:r>
              <w:rPr>
                <w:rFonts w:hint="eastAsia" w:ascii="黑体" w:hAnsi="黑体" w:eastAsia="黑体" w:cs="黑体"/>
                <w:color w:val="auto"/>
                <w:sz w:val="24"/>
                <w:szCs w:val="24"/>
              </w:rPr>
              <w:t>自然人</w:t>
            </w:r>
          </w:p>
        </w:tc>
        <w:tc>
          <w:tcPr>
            <w:tcW w:w="3326" w:type="dxa"/>
            <w:gridSpan w:val="5"/>
            <w:noWrap w:val="0"/>
            <w:tcMar>
              <w:left w:w="108" w:type="dxa"/>
              <w:right w:w="108" w:type="dxa"/>
            </w:tcMar>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rPr>
              <w:t>法人或其他组织</w:t>
            </w:r>
          </w:p>
        </w:tc>
        <w:tc>
          <w:tcPr>
            <w:tcW w:w="503" w:type="dxa"/>
            <w:vMerge w:val="restart"/>
            <w:noWrap w:val="0"/>
            <w:tcMar>
              <w:left w:w="108" w:type="dxa"/>
              <w:right w:w="108" w:type="dxa"/>
            </w:tcMar>
            <w:vAlign w:val="center"/>
          </w:tcPr>
          <w:p>
            <w:pPr>
              <w:rPr>
                <w:rFonts w:hint="eastAsia" w:ascii="黑体" w:hAnsi="黑体" w:eastAsia="黑体" w:cs="黑体"/>
                <w:color w:val="auto"/>
                <w:sz w:val="24"/>
                <w:szCs w:val="24"/>
              </w:rPr>
            </w:pPr>
            <w:r>
              <w:rPr>
                <w:rFonts w:hint="eastAsia" w:ascii="黑体" w:hAnsi="黑体" w:eastAsia="黑体" w:cs="黑体"/>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continue"/>
            <w:noWrap w:val="0"/>
            <w:tcMar>
              <w:left w:w="108" w:type="dxa"/>
              <w:right w:w="108" w:type="dxa"/>
            </w:tcMar>
            <w:vAlign w:val="center"/>
          </w:tcPr>
          <w:p>
            <w:pPr>
              <w:rPr>
                <w:rFonts w:hint="eastAsia" w:ascii="宋体" w:hAnsi="宋体" w:eastAsia="宋体" w:cs="宋体"/>
                <w:color w:val="auto"/>
                <w:sz w:val="24"/>
                <w:szCs w:val="24"/>
              </w:rPr>
            </w:pPr>
          </w:p>
        </w:tc>
        <w:tc>
          <w:tcPr>
            <w:tcW w:w="491"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703" w:type="dxa"/>
            <w:noWrap w:val="0"/>
            <w:tcMar>
              <w:left w:w="108" w:type="dxa"/>
              <w:right w:w="108" w:type="dxa"/>
            </w:tcMar>
            <w:vAlign w:val="center"/>
          </w:tcPr>
          <w:p>
            <w:pPr>
              <w:rPr>
                <w:rFonts w:hint="eastAsia" w:ascii="黑体" w:hAnsi="黑体" w:eastAsia="黑体" w:cs="黑体"/>
                <w:color w:val="auto"/>
                <w:sz w:val="24"/>
                <w:szCs w:val="24"/>
              </w:rPr>
            </w:pPr>
            <w:r>
              <w:rPr>
                <w:rFonts w:hint="eastAsia" w:ascii="黑体" w:hAnsi="黑体" w:eastAsia="黑体" w:cs="黑体"/>
                <w:color w:val="auto"/>
                <w:sz w:val="24"/>
                <w:szCs w:val="24"/>
              </w:rPr>
              <w:t>商业企业</w:t>
            </w:r>
          </w:p>
        </w:tc>
        <w:tc>
          <w:tcPr>
            <w:tcW w:w="703" w:type="dxa"/>
            <w:noWrap w:val="0"/>
            <w:tcMar>
              <w:left w:w="108" w:type="dxa"/>
              <w:right w:w="108" w:type="dxa"/>
            </w:tcMar>
            <w:vAlign w:val="center"/>
          </w:tcPr>
          <w:p>
            <w:pPr>
              <w:rPr>
                <w:rFonts w:hint="eastAsia" w:ascii="黑体" w:hAnsi="黑体" w:eastAsia="黑体" w:cs="黑体"/>
                <w:color w:val="auto"/>
                <w:sz w:val="24"/>
                <w:szCs w:val="24"/>
              </w:rPr>
            </w:pPr>
            <w:r>
              <w:rPr>
                <w:rFonts w:hint="eastAsia" w:ascii="黑体" w:hAnsi="黑体" w:eastAsia="黑体" w:cs="黑体"/>
                <w:color w:val="auto"/>
                <w:sz w:val="24"/>
                <w:szCs w:val="24"/>
              </w:rPr>
              <w:t>科研机构</w:t>
            </w:r>
          </w:p>
        </w:tc>
        <w:tc>
          <w:tcPr>
            <w:tcW w:w="703" w:type="dxa"/>
            <w:noWrap w:val="0"/>
            <w:tcMar>
              <w:left w:w="108" w:type="dxa"/>
              <w:right w:w="108" w:type="dxa"/>
            </w:tcMar>
            <w:vAlign w:val="center"/>
          </w:tcPr>
          <w:p>
            <w:pPr>
              <w:rPr>
                <w:rFonts w:hint="eastAsia" w:ascii="黑体" w:hAnsi="黑体" w:eastAsia="黑体" w:cs="黑体"/>
                <w:color w:val="auto"/>
                <w:sz w:val="24"/>
                <w:szCs w:val="24"/>
              </w:rPr>
            </w:pPr>
            <w:r>
              <w:rPr>
                <w:rFonts w:hint="eastAsia" w:ascii="黑体" w:hAnsi="黑体" w:eastAsia="黑体" w:cs="黑体"/>
                <w:color w:val="auto"/>
                <w:sz w:val="24"/>
                <w:szCs w:val="24"/>
              </w:rPr>
              <w:t>社会公益组织</w:t>
            </w:r>
          </w:p>
        </w:tc>
        <w:tc>
          <w:tcPr>
            <w:tcW w:w="703" w:type="dxa"/>
            <w:noWrap w:val="0"/>
            <w:tcMar>
              <w:left w:w="108" w:type="dxa"/>
              <w:right w:w="108" w:type="dxa"/>
            </w:tcMar>
            <w:vAlign w:val="center"/>
          </w:tcPr>
          <w:p>
            <w:pPr>
              <w:rPr>
                <w:rFonts w:hint="eastAsia" w:ascii="黑体" w:hAnsi="黑体" w:eastAsia="黑体" w:cs="黑体"/>
                <w:color w:val="auto"/>
                <w:sz w:val="24"/>
                <w:szCs w:val="24"/>
              </w:rPr>
            </w:pPr>
            <w:r>
              <w:rPr>
                <w:rFonts w:hint="eastAsia" w:ascii="黑体" w:hAnsi="黑体" w:eastAsia="黑体" w:cs="黑体"/>
                <w:color w:val="auto"/>
                <w:sz w:val="24"/>
                <w:szCs w:val="24"/>
              </w:rPr>
              <w:t>法律服务机构</w:t>
            </w:r>
          </w:p>
        </w:tc>
        <w:tc>
          <w:tcPr>
            <w:tcW w:w="514" w:type="dxa"/>
            <w:noWrap w:val="0"/>
            <w:tcMar>
              <w:left w:w="108" w:type="dxa"/>
              <w:right w:w="108" w:type="dxa"/>
            </w:tcMar>
            <w:vAlign w:val="center"/>
          </w:tcPr>
          <w:p>
            <w:pPr>
              <w:rPr>
                <w:rFonts w:hint="eastAsia" w:ascii="黑体" w:hAnsi="黑体" w:eastAsia="黑体" w:cs="黑体"/>
                <w:color w:val="auto"/>
                <w:sz w:val="24"/>
                <w:szCs w:val="24"/>
              </w:rPr>
            </w:pPr>
            <w:r>
              <w:rPr>
                <w:rFonts w:hint="eastAsia" w:ascii="黑体" w:hAnsi="黑体" w:eastAsia="黑体" w:cs="黑体"/>
                <w:color w:val="auto"/>
                <w:sz w:val="24"/>
                <w:szCs w:val="24"/>
              </w:rPr>
              <w:t>其他</w:t>
            </w:r>
          </w:p>
        </w:tc>
        <w:tc>
          <w:tcPr>
            <w:tcW w:w="503" w:type="dxa"/>
            <w:vMerge w:val="continue"/>
            <w:noWrap w:val="0"/>
            <w:tcMar>
              <w:left w:w="108" w:type="dxa"/>
              <w:right w:w="108" w:type="dxa"/>
            </w:tcMar>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4735" w:type="dxa"/>
            <w:gridSpan w:val="3"/>
            <w:noWrap w:val="0"/>
            <w:tcMar>
              <w:left w:w="108" w:type="dxa"/>
              <w:right w:w="108" w:type="dxa"/>
            </w:tcMar>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rPr>
              <w:t>一、本年新收政府信息公开申请数量</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4735" w:type="dxa"/>
            <w:gridSpan w:val="3"/>
            <w:noWrap w:val="0"/>
            <w:tcMar>
              <w:left w:w="108" w:type="dxa"/>
              <w:right w:w="108" w:type="dxa"/>
            </w:tcMar>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rPr>
              <w:t>二、上年结转政府信息公开申请数量</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restart"/>
            <w:noWrap w:val="0"/>
            <w:tcMar>
              <w:left w:w="108" w:type="dxa"/>
              <w:right w:w="108" w:type="dxa"/>
            </w:tcMar>
            <w:vAlign w:val="center"/>
          </w:tcPr>
          <w:p>
            <w:pPr>
              <w:jc w:val="center"/>
              <w:rPr>
                <w:rFonts w:hint="eastAsia" w:ascii="宋体" w:hAnsi="宋体" w:eastAsia="宋体" w:cs="宋体"/>
                <w:color w:val="auto"/>
                <w:sz w:val="24"/>
                <w:szCs w:val="24"/>
              </w:rPr>
            </w:pPr>
            <w:r>
              <w:rPr>
                <w:rFonts w:hint="eastAsia" w:ascii="黑体" w:hAnsi="黑体" w:eastAsia="黑体" w:cs="黑体"/>
                <w:color w:val="auto"/>
                <w:sz w:val="24"/>
                <w:szCs w:val="24"/>
              </w:rPr>
              <w:t>三、本年度办理结果</w:t>
            </w:r>
          </w:p>
        </w:tc>
        <w:tc>
          <w:tcPr>
            <w:tcW w:w="3988" w:type="dxa"/>
            <w:gridSpan w:val="2"/>
            <w:noWrap w:val="0"/>
            <w:tcMar>
              <w:left w:w="108" w:type="dxa"/>
              <w:right w:w="108" w:type="dxa"/>
            </w:tcMar>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（一）予以公开</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8"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3988" w:type="dxa"/>
            <w:gridSpan w:val="2"/>
            <w:noWrap w:val="0"/>
            <w:tcMar>
              <w:left w:w="108" w:type="dxa"/>
              <w:right w:w="108" w:type="dxa"/>
            </w:tcMar>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（二）部分公开（区分处理的，只计这一情形，不计其他情形）</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restart"/>
            <w:noWrap w:val="0"/>
            <w:tcMar>
              <w:left w:w="108" w:type="dxa"/>
              <w:right w:w="108" w:type="dxa"/>
            </w:tcMar>
            <w:vAlign w:val="center"/>
          </w:tcPr>
          <w:p>
            <w:pPr>
              <w:numPr>
                <w:ilvl w:val="0"/>
                <w:numId w:val="1"/>
              </w:numPr>
              <w:jc w:val="center"/>
              <w:rPr>
                <w:rFonts w:hint="eastAsia" w:ascii="宋体" w:hAnsi="宋体" w:eastAsia="宋体" w:cs="宋体"/>
                <w:outline w:val="0"/>
                <w:shadow w:val="0"/>
                <w:emboss w:val="0"/>
                <w:imprint w:val="0"/>
                <w:vanish w:val="0"/>
                <w:color w:val="auto"/>
                <w:spacing w:val="-11"/>
                <w:w w:val="100"/>
                <w:sz w:val="24"/>
                <w:szCs w:val="24"/>
                <w:u w:val="none"/>
              </w:rPr>
            </w:pPr>
          </w:p>
          <w:p>
            <w:pPr>
              <w:numPr>
                <w:ilvl w:val="0"/>
                <w:numId w:val="0"/>
              </w:numPr>
              <w:jc w:val="center"/>
              <w:rPr>
                <w:rFonts w:hint="eastAsia" w:ascii="宋体" w:hAnsi="宋体" w:eastAsia="宋体" w:cs="宋体"/>
                <w:outline w:val="0"/>
                <w:shadow w:val="0"/>
                <w:emboss w:val="0"/>
                <w:imprint w:val="0"/>
                <w:vanish w:val="0"/>
                <w:color w:val="auto"/>
                <w:spacing w:val="-11"/>
                <w:w w:val="100"/>
                <w:sz w:val="24"/>
                <w:szCs w:val="24"/>
                <w:u w:val="none"/>
              </w:rPr>
            </w:pPr>
            <w:r>
              <w:rPr>
                <w:rFonts w:hint="eastAsia" w:ascii="宋体" w:hAnsi="宋体" w:eastAsia="宋体" w:cs="宋体"/>
                <w:outline w:val="0"/>
                <w:shadow w:val="0"/>
                <w:emboss w:val="0"/>
                <w:imprint w:val="0"/>
                <w:vanish w:val="0"/>
                <w:color w:val="auto"/>
                <w:spacing w:val="-11"/>
                <w:w w:val="100"/>
                <w:sz w:val="24"/>
                <w:szCs w:val="24"/>
                <w:u w:val="none"/>
              </w:rPr>
              <w:t>不予</w:t>
            </w:r>
          </w:p>
          <w:p>
            <w:pPr>
              <w:numPr>
                <w:ilvl w:val="0"/>
                <w:numId w:val="0"/>
              </w:numPr>
              <w:jc w:val="center"/>
              <w:rPr>
                <w:rFonts w:hint="eastAsia" w:ascii="宋体" w:hAnsi="宋体" w:eastAsia="宋体" w:cs="宋体"/>
                <w:color w:val="auto"/>
                <w:sz w:val="24"/>
                <w:szCs w:val="24"/>
              </w:rPr>
            </w:pPr>
            <w:r>
              <w:rPr>
                <w:rFonts w:hint="eastAsia" w:ascii="宋体" w:hAnsi="宋体" w:eastAsia="宋体" w:cs="宋体"/>
                <w:outline w:val="0"/>
                <w:shadow w:val="0"/>
                <w:emboss w:val="0"/>
                <w:imprint w:val="0"/>
                <w:vanish w:val="0"/>
                <w:color w:val="auto"/>
                <w:spacing w:val="-11"/>
                <w:w w:val="100"/>
                <w:sz w:val="24"/>
                <w:szCs w:val="24"/>
                <w:u w:val="none"/>
              </w:rPr>
              <w:t>公开</w:t>
            </w: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1</w:t>
            </w:r>
            <w:r>
              <w:rPr>
                <w:rFonts w:hint="eastAsia" w:ascii="宋体" w:hAnsi="宋体" w:eastAsia="宋体" w:cs="宋体"/>
                <w:color w:val="auto"/>
                <w:sz w:val="24"/>
                <w:szCs w:val="24"/>
              </w:rPr>
              <w:t>.属于国家秘密</w:t>
            </w:r>
          </w:p>
        </w:tc>
        <w:tc>
          <w:tcPr>
            <w:tcW w:w="491" w:type="dxa"/>
            <w:noWrap w:val="0"/>
            <w:tcMar>
              <w:left w:w="108" w:type="dxa"/>
              <w:right w:w="108" w:type="dxa"/>
            </w:tcMar>
            <w:vAlign w:val="center"/>
          </w:tcPr>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color w:val="auto"/>
                <w:sz w:val="24"/>
                <w:szCs w:val="24"/>
              </w:rPr>
            </w:pP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2</w:t>
            </w:r>
            <w:r>
              <w:rPr>
                <w:rFonts w:hint="eastAsia" w:ascii="宋体" w:hAnsi="宋体" w:eastAsia="宋体" w:cs="宋体"/>
                <w:color w:val="auto"/>
                <w:sz w:val="24"/>
                <w:szCs w:val="24"/>
              </w:rPr>
              <w:t>.其他法律行政法规禁止公开</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color w:val="auto"/>
                <w:sz w:val="24"/>
                <w:szCs w:val="24"/>
              </w:rPr>
            </w:pP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3</w:t>
            </w:r>
            <w:r>
              <w:rPr>
                <w:rFonts w:hint="eastAsia" w:ascii="宋体" w:hAnsi="宋体" w:eastAsia="宋体" w:cs="宋体"/>
                <w:color w:val="auto"/>
                <w:sz w:val="24"/>
                <w:szCs w:val="24"/>
              </w:rPr>
              <w:t>.危及“三安全一稳定”</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color w:val="auto"/>
                <w:sz w:val="24"/>
                <w:szCs w:val="24"/>
              </w:rPr>
            </w:pP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4</w:t>
            </w:r>
            <w:r>
              <w:rPr>
                <w:rFonts w:hint="eastAsia" w:ascii="宋体" w:hAnsi="宋体" w:eastAsia="宋体" w:cs="宋体"/>
                <w:color w:val="auto"/>
                <w:sz w:val="24"/>
                <w:szCs w:val="24"/>
              </w:rPr>
              <w:t>.保护第三方合法权益</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color w:val="auto"/>
                <w:sz w:val="24"/>
                <w:szCs w:val="24"/>
              </w:rPr>
            </w:pP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5</w:t>
            </w:r>
            <w:r>
              <w:rPr>
                <w:rFonts w:hint="eastAsia" w:ascii="宋体" w:hAnsi="宋体" w:eastAsia="宋体" w:cs="宋体"/>
                <w:color w:val="auto"/>
                <w:sz w:val="24"/>
                <w:szCs w:val="24"/>
              </w:rPr>
              <w:t>.属于三类内部事务信息</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color w:val="auto"/>
                <w:sz w:val="24"/>
                <w:szCs w:val="24"/>
              </w:rPr>
            </w:pP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6</w:t>
            </w:r>
            <w:r>
              <w:rPr>
                <w:rFonts w:hint="eastAsia" w:ascii="宋体" w:hAnsi="宋体" w:eastAsia="宋体" w:cs="宋体"/>
                <w:color w:val="auto"/>
                <w:sz w:val="24"/>
                <w:szCs w:val="24"/>
              </w:rPr>
              <w:t>.属于四类过程性信息</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color w:val="auto"/>
                <w:sz w:val="24"/>
                <w:szCs w:val="24"/>
              </w:rPr>
            </w:pP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7</w:t>
            </w:r>
            <w:r>
              <w:rPr>
                <w:rFonts w:hint="eastAsia" w:ascii="宋体" w:hAnsi="宋体" w:eastAsia="宋体" w:cs="宋体"/>
                <w:color w:val="auto"/>
                <w:sz w:val="24"/>
                <w:szCs w:val="24"/>
              </w:rPr>
              <w:t>.属于行政执法案卷</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color w:val="auto"/>
                <w:sz w:val="24"/>
                <w:szCs w:val="24"/>
              </w:rPr>
            </w:pP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8</w:t>
            </w:r>
            <w:r>
              <w:rPr>
                <w:rFonts w:hint="eastAsia" w:ascii="宋体" w:hAnsi="宋体" w:eastAsia="宋体" w:cs="宋体"/>
                <w:color w:val="auto"/>
                <w:sz w:val="24"/>
                <w:szCs w:val="24"/>
              </w:rPr>
              <w:t>.属于行政查询事项</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6"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restart"/>
            <w:noWrap w:val="0"/>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（四）无法</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w:t>
            </w: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1</w:t>
            </w:r>
            <w:r>
              <w:rPr>
                <w:rFonts w:hint="eastAsia" w:ascii="宋体" w:hAnsi="宋体" w:eastAsia="宋体" w:cs="宋体"/>
                <w:color w:val="auto"/>
                <w:sz w:val="24"/>
                <w:szCs w:val="24"/>
              </w:rPr>
              <w:t>.本机关不掌握相关政府信息</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color w:val="auto"/>
                <w:sz w:val="24"/>
                <w:szCs w:val="24"/>
              </w:rPr>
            </w:pP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2</w:t>
            </w:r>
            <w:r>
              <w:rPr>
                <w:rFonts w:hint="eastAsia" w:ascii="宋体" w:hAnsi="宋体" w:eastAsia="宋体" w:cs="宋体"/>
                <w:color w:val="auto"/>
                <w:sz w:val="24"/>
                <w:szCs w:val="24"/>
              </w:rPr>
              <w:t>.没有现成信息需要另行制作</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color w:val="auto"/>
                <w:sz w:val="24"/>
                <w:szCs w:val="24"/>
              </w:rPr>
            </w:pP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3</w:t>
            </w:r>
            <w:r>
              <w:rPr>
                <w:rFonts w:hint="eastAsia" w:ascii="宋体" w:hAnsi="宋体" w:eastAsia="宋体" w:cs="宋体"/>
                <w:color w:val="auto"/>
                <w:sz w:val="24"/>
                <w:szCs w:val="24"/>
              </w:rPr>
              <w:t>.</w:t>
            </w:r>
            <w:r>
              <w:rPr>
                <w:rFonts w:hint="eastAsia" w:ascii="宋体" w:hAnsi="宋体" w:eastAsia="宋体" w:cs="宋体"/>
                <w:color w:val="auto"/>
                <w:spacing w:val="-6"/>
                <w:sz w:val="24"/>
                <w:szCs w:val="24"/>
              </w:rPr>
              <w:t>补正后申请内容仍不明确</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restart"/>
            <w:noWrap w:val="0"/>
            <w:tcMar>
              <w:left w:w="108" w:type="dxa"/>
              <w:right w:w="108" w:type="dxa"/>
            </w:tcMar>
            <w:vAlign w:val="center"/>
          </w:tcPr>
          <w:p>
            <w:pPr>
              <w:numPr>
                <w:ilvl w:val="0"/>
                <w:numId w:val="0"/>
              </w:numPr>
              <w:ind w:leftChars="0"/>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（五）</w:t>
            </w:r>
          </w:p>
          <w:p>
            <w:pPr>
              <w:numPr>
                <w:ilvl w:val="0"/>
                <w:numId w:val="0"/>
              </w:numPr>
              <w:ind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不予</w:t>
            </w:r>
          </w:p>
          <w:p>
            <w:pPr>
              <w:numPr>
                <w:ilvl w:val="0"/>
                <w:numId w:val="0"/>
              </w:numPr>
              <w:ind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处理</w:t>
            </w: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1</w:t>
            </w:r>
            <w:r>
              <w:rPr>
                <w:rFonts w:hint="eastAsia" w:ascii="宋体" w:hAnsi="宋体" w:eastAsia="宋体" w:cs="宋体"/>
                <w:color w:val="auto"/>
                <w:sz w:val="24"/>
                <w:szCs w:val="24"/>
              </w:rPr>
              <w:t>.信访举报投诉类申请</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2</w:t>
            </w:r>
            <w:r>
              <w:rPr>
                <w:rFonts w:hint="eastAsia" w:ascii="宋体" w:hAnsi="宋体" w:eastAsia="宋体" w:cs="宋体"/>
                <w:color w:val="auto"/>
                <w:sz w:val="24"/>
                <w:szCs w:val="24"/>
              </w:rPr>
              <w:t>.重复申请</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3</w:t>
            </w:r>
            <w:r>
              <w:rPr>
                <w:rFonts w:hint="eastAsia" w:ascii="宋体" w:hAnsi="宋体" w:eastAsia="宋体" w:cs="宋体"/>
                <w:color w:val="auto"/>
                <w:sz w:val="24"/>
                <w:szCs w:val="24"/>
              </w:rPr>
              <w:t>.要求提供公开出版物</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2979" w:type="dxa"/>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4</w:t>
            </w:r>
            <w:r>
              <w:rPr>
                <w:rFonts w:hint="eastAsia" w:ascii="宋体" w:hAnsi="宋体" w:eastAsia="宋体" w:cs="宋体"/>
                <w:color w:val="auto"/>
                <w:sz w:val="24"/>
                <w:szCs w:val="24"/>
              </w:rPr>
              <w:t>.</w:t>
            </w:r>
            <w:r>
              <w:rPr>
                <w:rFonts w:hint="eastAsia" w:ascii="宋体" w:hAnsi="宋体" w:eastAsia="宋体" w:cs="宋体"/>
                <w:outline w:val="0"/>
                <w:shadow w:val="0"/>
                <w:emboss w:val="0"/>
                <w:imprint w:val="0"/>
                <w:vanish w:val="0"/>
                <w:color w:val="auto"/>
                <w:spacing w:val="-6"/>
                <w:w w:val="100"/>
                <w:sz w:val="24"/>
                <w:szCs w:val="24"/>
                <w:u w:val="none"/>
              </w:rPr>
              <w:t>无正当理由大量反复申请</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7" w:hRule="atLeast"/>
          <w:jc w:val="center"/>
        </w:trPr>
        <w:tc>
          <w:tcPr>
            <w:tcW w:w="747" w:type="dxa"/>
            <w:vMerge w:val="continue"/>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tcBorders>
              <w:bottom w:val="single" w:color="auto" w:sz="4" w:space="0"/>
            </w:tcBorders>
            <w:noWrap w:val="0"/>
            <w:tcMar>
              <w:left w:w="108" w:type="dxa"/>
              <w:right w:w="108" w:type="dxa"/>
            </w:tcMar>
            <w:vAlign w:val="center"/>
          </w:tcPr>
          <w:p>
            <w:pPr>
              <w:rPr>
                <w:rFonts w:hint="eastAsia" w:ascii="宋体" w:hAnsi="宋体" w:eastAsia="宋体" w:cs="宋体"/>
                <w:color w:val="auto"/>
                <w:sz w:val="24"/>
                <w:szCs w:val="24"/>
              </w:rPr>
            </w:pPr>
          </w:p>
        </w:tc>
        <w:tc>
          <w:tcPr>
            <w:tcW w:w="2979" w:type="dxa"/>
            <w:tcBorders>
              <w:bottom w:val="single" w:color="auto" w:sz="4" w:space="0"/>
            </w:tcBorders>
            <w:noWrap w:val="0"/>
            <w:tcMar>
              <w:left w:w="108" w:type="dxa"/>
              <w:right w:w="108" w:type="dxa"/>
            </w:tcMar>
            <w:vAlign w:val="center"/>
          </w:tcPr>
          <w:p>
            <w:pPr>
              <w:rPr>
                <w:rFonts w:hint="eastAsia" w:ascii="宋体" w:hAnsi="宋体" w:eastAsia="宋体" w:cs="宋体"/>
                <w:color w:val="auto"/>
                <w:sz w:val="24"/>
                <w:szCs w:val="24"/>
              </w:rPr>
            </w:pPr>
            <w:r>
              <w:rPr>
                <w:rFonts w:hint="eastAsia" w:ascii="Times New Roman" w:hAnsi="Times New Roman" w:eastAsia="宋体" w:cs="宋体"/>
                <w:color w:val="auto"/>
                <w:sz w:val="24"/>
                <w:szCs w:val="24"/>
              </w:rPr>
              <w:t>5</w:t>
            </w:r>
            <w:r>
              <w:rPr>
                <w:rFonts w:hint="eastAsia" w:ascii="宋体" w:hAnsi="宋体" w:eastAsia="宋体" w:cs="宋体"/>
                <w:color w:val="auto"/>
                <w:sz w:val="24"/>
                <w:szCs w:val="24"/>
              </w:rPr>
              <w:t>.要求行政机关确认或重新出具已获取信息</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9" w:hRule="atLeast"/>
          <w:jc w:val="center"/>
        </w:trPr>
        <w:tc>
          <w:tcPr>
            <w:tcW w:w="747" w:type="dxa"/>
            <w:vMerge w:val="restart"/>
            <w:tcBorders>
              <w:right w:val="single" w:color="auto" w:sz="4" w:space="0"/>
            </w:tcBorders>
            <w:noWrap w:val="0"/>
            <w:tcMar>
              <w:left w:w="108" w:type="dxa"/>
              <w:right w:w="108" w:type="dxa"/>
            </w:tcMar>
            <w:vAlign w:val="center"/>
          </w:tcPr>
          <w:p>
            <w:pPr>
              <w:jc w:val="center"/>
              <w:rPr>
                <w:rFonts w:hint="eastAsia" w:ascii="宋体" w:hAnsi="宋体" w:eastAsia="宋体" w:cs="宋体"/>
                <w:color w:val="auto"/>
                <w:sz w:val="24"/>
                <w:szCs w:val="24"/>
              </w:rPr>
            </w:pPr>
            <w:r>
              <w:rPr>
                <w:rFonts w:hint="eastAsia" w:ascii="黑体" w:hAnsi="黑体" w:eastAsia="黑体" w:cs="黑体"/>
                <w:color w:val="auto"/>
                <w:sz w:val="24"/>
                <w:szCs w:val="24"/>
              </w:rPr>
              <w:t>三、本年度办理结果</w:t>
            </w:r>
          </w:p>
        </w:tc>
        <w:tc>
          <w:tcPr>
            <w:tcW w:w="1009"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numPr>
                <w:ilvl w:val="0"/>
                <w:numId w:val="0"/>
              </w:numPr>
              <w:ind w:leftChars="0"/>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（六）</w:t>
            </w:r>
          </w:p>
          <w:p>
            <w:pPr>
              <w:numPr>
                <w:ilvl w:val="0"/>
                <w:numId w:val="0"/>
              </w:numPr>
              <w:ind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p>
            <w:pPr>
              <w:numPr>
                <w:ilvl w:val="0"/>
                <w:numId w:val="0"/>
              </w:numPr>
              <w:ind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处理</w:t>
            </w:r>
          </w:p>
        </w:tc>
        <w:tc>
          <w:tcPr>
            <w:tcW w:w="2979" w:type="dxa"/>
            <w:tcBorders>
              <w:top w:val="single" w:color="auto" w:sz="4" w:space="0"/>
              <w:left w:val="single" w:color="auto" w:sz="4" w:space="0"/>
              <w:right w:val="single" w:color="auto" w:sz="4" w:space="0"/>
            </w:tcBorders>
            <w:noWrap w:val="0"/>
            <w:tcMar>
              <w:left w:w="108" w:type="dxa"/>
              <w:right w:w="108" w:type="dxa"/>
            </w:tcMar>
            <w:vAlign w:val="center"/>
          </w:tcPr>
          <w:p>
            <w:pPr>
              <w:rPr>
                <w:rFonts w:hint="eastAsia" w:ascii="宋体" w:hAnsi="宋体"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.申请人无正当理由逾期不补正、行政机关不再处理其政府信息公开申请</w:t>
            </w:r>
          </w:p>
        </w:tc>
        <w:tc>
          <w:tcPr>
            <w:tcW w:w="491" w:type="dxa"/>
            <w:tcBorders>
              <w:left w:val="single" w:color="auto" w:sz="4" w:space="0"/>
            </w:tcBorders>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tcBorders>
              <w:left w:val="single" w:color="auto" w:sz="4" w:space="0"/>
              <w:right w:val="single" w:color="auto" w:sz="4" w:space="0"/>
            </w:tcBorders>
            <w:noWrap w:val="0"/>
            <w:tcMar>
              <w:left w:w="108" w:type="dxa"/>
              <w:right w:w="108" w:type="dxa"/>
            </w:tcMar>
            <w:vAlign w:val="center"/>
          </w:tcPr>
          <w:p>
            <w:pPr>
              <w:rPr>
                <w:rFonts w:hint="eastAsia" w:ascii="宋体" w:hAnsi="宋体" w:eastAsia="宋体" w:cs="宋体"/>
                <w:color w:val="auto"/>
                <w:sz w:val="24"/>
                <w:szCs w:val="24"/>
              </w:rPr>
            </w:pPr>
          </w:p>
        </w:tc>
        <w:tc>
          <w:tcPr>
            <w:tcW w:w="2979" w:type="dxa"/>
            <w:tcBorders>
              <w:left w:val="single" w:color="auto" w:sz="4" w:space="0"/>
              <w:right w:val="single" w:color="auto" w:sz="4" w:space="0"/>
            </w:tcBorders>
            <w:noWrap w:val="0"/>
            <w:tcMar>
              <w:left w:w="108" w:type="dxa"/>
              <w:right w:w="108" w:type="dxa"/>
            </w:tcMar>
            <w:vAlign w:val="center"/>
          </w:tcPr>
          <w:p>
            <w:pPr>
              <w:rPr>
                <w:rFonts w:hint="eastAsia" w:ascii="宋体" w:hAnsi="宋体"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2</w:t>
            </w:r>
            <w:r>
              <w:rPr>
                <w:rFonts w:hint="eastAsia" w:ascii="宋体" w:hAnsi="宋体" w:eastAsia="宋体" w:cs="宋体"/>
                <w:color w:val="auto"/>
                <w:sz w:val="24"/>
                <w:szCs w:val="24"/>
                <w:lang w:val="en-US" w:eastAsia="zh-CN"/>
              </w:rPr>
              <w:t>.申请人逾期未按收费通知要求缴纳费用、行政机关不再处理其政府信息公开申请</w:t>
            </w:r>
          </w:p>
        </w:tc>
        <w:tc>
          <w:tcPr>
            <w:tcW w:w="491" w:type="dxa"/>
            <w:tcBorders>
              <w:left w:val="single" w:color="auto" w:sz="4" w:space="0"/>
            </w:tcBorders>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color w:val="auto"/>
                <w:sz w:val="24"/>
                <w:szCs w:val="24"/>
              </w:rPr>
            </w:pPr>
          </w:p>
        </w:tc>
        <w:tc>
          <w:tcPr>
            <w:tcW w:w="1009"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color w:val="auto"/>
                <w:sz w:val="24"/>
                <w:szCs w:val="24"/>
              </w:rPr>
            </w:pPr>
          </w:p>
        </w:tc>
        <w:tc>
          <w:tcPr>
            <w:tcW w:w="2979" w:type="dxa"/>
            <w:tcBorders>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3</w:t>
            </w:r>
            <w:r>
              <w:rPr>
                <w:rFonts w:hint="eastAsia" w:ascii="宋体" w:hAnsi="宋体" w:eastAsia="宋体" w:cs="宋体"/>
                <w:color w:val="auto"/>
                <w:sz w:val="24"/>
                <w:szCs w:val="24"/>
                <w:lang w:val="en-US" w:eastAsia="zh-CN"/>
              </w:rPr>
              <w:t>.其他</w:t>
            </w:r>
          </w:p>
        </w:tc>
        <w:tc>
          <w:tcPr>
            <w:tcW w:w="491" w:type="dxa"/>
            <w:tcBorders>
              <w:left w:val="single" w:color="auto" w:sz="4" w:space="0"/>
            </w:tcBorders>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color w:val="auto"/>
                <w:sz w:val="24"/>
                <w:szCs w:val="24"/>
              </w:rPr>
            </w:pPr>
          </w:p>
        </w:tc>
        <w:tc>
          <w:tcPr>
            <w:tcW w:w="3988" w:type="dxa"/>
            <w:gridSpan w:val="2"/>
            <w:tcBorders>
              <w:top w:val="single" w:color="auto" w:sz="4" w:space="0"/>
            </w:tcBorders>
            <w:noWrap w:val="0"/>
            <w:tcMar>
              <w:left w:w="108" w:type="dxa"/>
              <w:right w:w="108" w:type="dxa"/>
            </w:tcMar>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（七）总计</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735" w:type="dxa"/>
            <w:gridSpan w:val="3"/>
            <w:noWrap w:val="0"/>
            <w:tcMar>
              <w:left w:w="108" w:type="dxa"/>
              <w:right w:w="108" w:type="dxa"/>
            </w:tcMar>
            <w:vAlign w:val="center"/>
          </w:tcPr>
          <w:p>
            <w:pPr>
              <w:jc w:val="center"/>
              <w:rPr>
                <w:rFonts w:hint="eastAsia" w:ascii="宋体" w:hAnsi="宋体" w:eastAsia="宋体" w:cs="宋体"/>
                <w:color w:val="auto"/>
                <w:sz w:val="24"/>
                <w:szCs w:val="24"/>
              </w:rPr>
            </w:pPr>
            <w:r>
              <w:rPr>
                <w:rFonts w:hint="eastAsia" w:ascii="黑体" w:hAnsi="黑体" w:eastAsia="黑体" w:cs="黑体"/>
                <w:color w:val="auto"/>
                <w:sz w:val="24"/>
                <w:szCs w:val="24"/>
              </w:rPr>
              <w:t>四、结转下年度继续办理</w:t>
            </w:r>
          </w:p>
        </w:tc>
        <w:tc>
          <w:tcPr>
            <w:tcW w:w="491"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p>
        </w:tc>
      </w:tr>
    </w:tbl>
    <w:p>
      <w:pPr>
        <w:spacing w:line="560" w:lineRule="exact"/>
        <w:ind w:firstLine="636" w:firstLineChars="199"/>
        <w:rPr>
          <w:rFonts w:hint="eastAsia" w:ascii="黑体" w:hAnsi="黑体" w:eastAsia="黑体" w:cs="宋体"/>
          <w:color w:val="auto"/>
          <w:sz w:val="32"/>
          <w:szCs w:val="32"/>
        </w:rPr>
      </w:pPr>
      <w:r>
        <w:rPr>
          <w:rFonts w:hint="eastAsia" w:ascii="黑体" w:hAnsi="黑体" w:eastAsia="黑体" w:cs="宋体"/>
          <w:color w:val="auto"/>
          <w:sz w:val="32"/>
          <w:szCs w:val="32"/>
        </w:rPr>
        <w:t>四、政府信息公开行政复议、行政诉讼情况</w:t>
      </w:r>
    </w:p>
    <w:tbl>
      <w:tblPr>
        <w:tblStyle w:val="5"/>
        <w:tblW w:w="9058"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525"/>
        <w:gridCol w:w="542"/>
        <w:gridCol w:w="525"/>
        <w:gridCol w:w="598"/>
        <w:gridCol w:w="607"/>
        <w:gridCol w:w="558"/>
        <w:gridCol w:w="687"/>
        <w:gridCol w:w="591"/>
        <w:gridCol w:w="721"/>
        <w:gridCol w:w="687"/>
        <w:gridCol w:w="638"/>
        <w:gridCol w:w="638"/>
        <w:gridCol w:w="638"/>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72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行政复议</w:t>
            </w:r>
          </w:p>
        </w:tc>
        <w:tc>
          <w:tcPr>
            <w:tcW w:w="6336"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3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结果维持</w:t>
            </w:r>
          </w:p>
        </w:tc>
        <w:tc>
          <w:tcPr>
            <w:tcW w:w="52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结果纠正</w:t>
            </w:r>
          </w:p>
        </w:tc>
        <w:tc>
          <w:tcPr>
            <w:tcW w:w="54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其他结果</w:t>
            </w:r>
          </w:p>
        </w:tc>
        <w:tc>
          <w:tcPr>
            <w:tcW w:w="52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尚未审结</w:t>
            </w:r>
          </w:p>
        </w:tc>
        <w:tc>
          <w:tcPr>
            <w:tcW w:w="598"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计</w:t>
            </w:r>
          </w:p>
        </w:tc>
        <w:tc>
          <w:tcPr>
            <w:tcW w:w="3164"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未经复议直接起诉</w:t>
            </w:r>
          </w:p>
        </w:tc>
        <w:tc>
          <w:tcPr>
            <w:tcW w:w="317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0" w:hRule="atLeast"/>
          <w:jc w:val="center"/>
        </w:trPr>
        <w:tc>
          <w:tcPr>
            <w:tcW w:w="532" w:type="dxa"/>
            <w:vMerge w:val="continue"/>
            <w:tcBorders>
              <w:top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p>
        </w:tc>
        <w:tc>
          <w:tcPr>
            <w:tcW w:w="52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p>
        </w:tc>
        <w:tc>
          <w:tcPr>
            <w:tcW w:w="5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p>
        </w:tc>
        <w:tc>
          <w:tcPr>
            <w:tcW w:w="52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p>
        </w:tc>
        <w:tc>
          <w:tcPr>
            <w:tcW w:w="59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p>
        </w:tc>
        <w:tc>
          <w:tcPr>
            <w:tcW w:w="6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结果维持</w:t>
            </w:r>
          </w:p>
        </w:tc>
        <w:tc>
          <w:tcPr>
            <w:tcW w:w="55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结果纠正</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其他结果</w:t>
            </w:r>
          </w:p>
        </w:tc>
        <w:tc>
          <w:tcPr>
            <w:tcW w:w="59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尚未审结</w:t>
            </w:r>
          </w:p>
        </w:tc>
        <w:tc>
          <w:tcPr>
            <w:tcW w:w="72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val="en-US" w:eastAsia="zh-CN" w:bidi="ar"/>
              </w:rPr>
            </w:pPr>
            <w:r>
              <w:rPr>
                <w:rFonts w:hint="eastAsia" w:ascii="黑体" w:hAnsi="黑体" w:eastAsia="黑体" w:cs="黑体"/>
                <w:color w:val="auto"/>
                <w:kern w:val="0"/>
                <w:sz w:val="24"/>
                <w:lang w:bidi="ar"/>
              </w:rPr>
              <w:t>总</w:t>
            </w:r>
            <w:r>
              <w:rPr>
                <w:rFonts w:hint="eastAsia" w:ascii="黑体" w:hAnsi="黑体" w:eastAsia="黑体" w:cs="黑体"/>
                <w:color w:val="auto"/>
                <w:kern w:val="0"/>
                <w:sz w:val="24"/>
                <w:lang w:val="en-US" w:eastAsia="zh-CN" w:bidi="ar"/>
              </w:rPr>
              <w:t xml:space="preserve"> </w:t>
            </w:r>
            <w:r>
              <w:rPr>
                <w:rFonts w:hint="eastAsia" w:ascii="黑体" w:hAnsi="黑体" w:eastAsia="黑体" w:cs="黑体"/>
                <w:color w:val="auto"/>
                <w:kern w:val="0"/>
                <w:sz w:val="24"/>
                <w:lang w:bidi="ar"/>
              </w:rPr>
              <w:t>计</w:t>
            </w:r>
            <w:r>
              <w:rPr>
                <w:rFonts w:hint="eastAsia" w:ascii="黑体" w:hAnsi="黑体" w:eastAsia="黑体" w:cs="黑体"/>
                <w:color w:val="auto"/>
                <w:kern w:val="0"/>
                <w:sz w:val="24"/>
                <w:lang w:val="en-US" w:eastAsia="zh-CN" w:bidi="ar"/>
              </w:rPr>
              <w:t xml:space="preserve">   </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结果维持</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结果纠正</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其他结果</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尚未审结</w:t>
            </w:r>
          </w:p>
        </w:tc>
        <w:tc>
          <w:tcPr>
            <w:tcW w:w="57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4" w:hRule="atLeast"/>
          <w:jc w:val="center"/>
        </w:trPr>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5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59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6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55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59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72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c>
          <w:tcPr>
            <w:tcW w:w="57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w:t>
            </w:r>
          </w:p>
        </w:tc>
      </w:tr>
    </w:tbl>
    <w:p>
      <w:pPr>
        <w:spacing w:line="560" w:lineRule="exact"/>
        <w:ind w:firstLine="636" w:firstLineChars="199"/>
        <w:rPr>
          <w:rFonts w:hint="eastAsia" w:ascii="黑体" w:hAnsi="黑体" w:eastAsia="黑体" w:cs="宋体"/>
          <w:color w:val="auto"/>
          <w:sz w:val="32"/>
          <w:szCs w:val="32"/>
        </w:rPr>
      </w:pPr>
      <w:r>
        <w:rPr>
          <w:rFonts w:hint="eastAsia" w:ascii="黑体" w:hAnsi="黑体" w:eastAsia="黑体" w:cs="宋体"/>
          <w:color w:val="auto"/>
          <w:sz w:val="32"/>
          <w:szCs w:val="32"/>
        </w:rPr>
        <w:t>五、存在的主要问题及改进情况</w:t>
      </w:r>
    </w:p>
    <w:p>
      <w:pPr>
        <w:spacing w:line="560" w:lineRule="exact"/>
        <w:ind w:firstLine="636" w:firstLineChars="19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eastAsia="zh-CN"/>
        </w:rPr>
        <w:t>额敏县教科局</w:t>
      </w:r>
      <w:r>
        <w:rPr>
          <w:rFonts w:hint="eastAsia" w:ascii="仿宋_GB2312" w:hAnsi="仿宋_GB2312" w:eastAsia="仿宋_GB2312" w:cs="仿宋_GB2312"/>
          <w:color w:val="auto"/>
          <w:sz w:val="32"/>
          <w:szCs w:val="32"/>
        </w:rPr>
        <w:t>政府信息公开工作在公开数量及质量上总体运行状况较去年有所提升，但还存在以下问题：一是信息公开的重点领域仍需进一步丰富其内容，增强规范性、实用性；二是政务公开专业素养与业务能力亟需强化，工作人员之间的协作衔接不够紧密流畅，工作流程的系统性和连贯性尚需优化完善，一定程度上影响了政务公开工作的高效推进。</w:t>
      </w:r>
    </w:p>
    <w:p>
      <w:pPr>
        <w:spacing w:line="560" w:lineRule="exact"/>
        <w:ind w:firstLine="636" w:firstLineChars="19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额敏县教科局</w:t>
      </w:r>
      <w:r>
        <w:rPr>
          <w:rFonts w:hint="eastAsia" w:ascii="仿宋_GB2312" w:hAnsi="仿宋_GB2312" w:eastAsia="仿宋_GB2312" w:cs="仿宋_GB2312"/>
          <w:color w:val="auto"/>
          <w:sz w:val="32"/>
          <w:szCs w:val="32"/>
        </w:rPr>
        <w:t>将从以下几个方面进行改进：一是全力推动政务公开工作迈向规范化、制度化、常态化的新高度。拓宽信息发布渠道矩阵，综合运用多种媒介平台，确保信息能够精准、及时地触达群众，增强信息的时效性和影响力；二是强化政务公开人员的专业培训体系建设，通过组织定期培训、交流研讨、案例分析等多元化学习活动，持续提升工作人员的公开意识，锤炼其业务技能。</w:t>
      </w:r>
    </w:p>
    <w:p>
      <w:pPr>
        <w:spacing w:line="560" w:lineRule="exact"/>
        <w:ind w:firstLine="636" w:firstLineChars="199"/>
        <w:rPr>
          <w:rFonts w:hint="eastAsia" w:ascii="黑体" w:hAnsi="黑体" w:eastAsia="黑体" w:cs="宋体"/>
          <w:color w:val="auto"/>
          <w:sz w:val="32"/>
          <w:szCs w:val="32"/>
        </w:rPr>
      </w:pPr>
      <w:r>
        <w:rPr>
          <w:rFonts w:hint="eastAsia" w:ascii="黑体" w:hAnsi="黑体" w:eastAsia="黑体" w:cs="宋体"/>
          <w:color w:val="auto"/>
          <w:sz w:val="32"/>
          <w:szCs w:val="32"/>
        </w:rPr>
        <w:t>六、其他需要报告的事项</w:t>
      </w:r>
    </w:p>
    <w:p>
      <w:pPr>
        <w:spacing w:line="560" w:lineRule="exact"/>
        <w:ind w:firstLine="636" w:firstLineChars="19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额敏县教科局</w:t>
      </w:r>
      <w:r>
        <w:rPr>
          <w:rFonts w:hint="eastAsia" w:ascii="仿宋_GB2312" w:hAnsi="仿宋_GB2312" w:eastAsia="仿宋_GB2312" w:cs="仿宋_GB2312"/>
          <w:color w:val="auto"/>
          <w:sz w:val="32"/>
          <w:szCs w:val="32"/>
        </w:rPr>
        <w:t>按照《国务院办公厅关于印发&lt;政府信息公开信息处理费管理办法&gt;的通知》（国办函〔2020〕109号）规定的按件、按量收费标准，本年度未产生信息公开处理费。</w:t>
      </w:r>
    </w:p>
    <w:p>
      <w:pPr>
        <w:spacing w:line="560" w:lineRule="exact"/>
        <w:ind w:firstLine="636" w:firstLineChars="199"/>
        <w:rPr>
          <w:rFonts w:hint="eastAsia" w:ascii="仿宋_GB2312" w:hAnsi="仿宋_GB2312" w:eastAsia="仿宋_GB2312" w:cs="仿宋_GB2312"/>
          <w:color w:val="auto"/>
          <w:sz w:val="32"/>
          <w:szCs w:val="32"/>
        </w:rPr>
      </w:pPr>
    </w:p>
    <w:p>
      <w:pPr>
        <w:spacing w:line="560" w:lineRule="exact"/>
        <w:ind w:firstLine="636" w:firstLineChars="199"/>
        <w:rPr>
          <w:rFonts w:hint="eastAsia" w:ascii="仿宋_GB2312" w:hAnsi="仿宋_GB2312" w:eastAsia="仿宋_GB2312" w:cs="仿宋_GB2312"/>
          <w:color w:val="auto"/>
          <w:sz w:val="32"/>
          <w:szCs w:val="32"/>
        </w:rPr>
      </w:pPr>
    </w:p>
    <w:p>
      <w:pPr>
        <w:spacing w:line="560" w:lineRule="exact"/>
        <w:ind w:firstLine="636" w:firstLineChars="199"/>
        <w:rPr>
          <w:rFonts w:hint="eastAsia" w:ascii="仿宋_GB2312" w:hAnsi="仿宋_GB2312" w:eastAsia="仿宋_GB2312" w:cs="仿宋_GB2312"/>
          <w:color w:val="auto"/>
          <w:sz w:val="32"/>
          <w:szCs w:val="32"/>
        </w:rPr>
      </w:pPr>
    </w:p>
    <w:p>
      <w:pPr>
        <w:spacing w:line="560" w:lineRule="exact"/>
        <w:ind w:firstLine="636" w:firstLineChars="199"/>
        <w:rPr>
          <w:rFonts w:hint="eastAsia" w:ascii="仿宋_GB2312" w:hAnsi="仿宋_GB2312" w:eastAsia="仿宋_GB2312" w:cs="仿宋_GB2312"/>
          <w:color w:val="auto"/>
          <w:sz w:val="32"/>
          <w:szCs w:val="32"/>
        </w:rPr>
      </w:pPr>
    </w:p>
    <w:p>
      <w:pPr>
        <w:wordWrap w:val="0"/>
        <w:spacing w:line="560" w:lineRule="exact"/>
        <w:ind w:firstLine="636" w:firstLineChars="199"/>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额敏县教育和科学技术局        </w:t>
      </w:r>
    </w:p>
    <w:p>
      <w:pPr>
        <w:wordWrap w:val="0"/>
        <w:spacing w:line="560" w:lineRule="exact"/>
        <w:ind w:firstLine="636" w:firstLineChars="199"/>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2025年2月12日          </w:t>
      </w:r>
    </w:p>
    <w:sectPr>
      <w:footerReference r:id="rId3" w:type="default"/>
      <w:pgSz w:w="11906" w:h="16838"/>
      <w:pgMar w:top="1984" w:right="1531" w:bottom="1701" w:left="1531" w:header="851" w:footer="1417" w:gutter="0"/>
      <w:paperSrc/>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3a8MBAABwAwAADgAAAGRycy9lMm9Eb2MueG1srVPNjtMwEL4j7TtY&#10;vm+drQS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D5fdrwwEAAHADAAAOAAAAAAAAAAEAIAAAAB4BAABkcnMvZTJvRG9jLnhtbFBL&#10;BQYAAAAABgAGAFkBAABTBQAAAAA=&#10;">
              <v:fill on="f" focussize="0,0"/>
              <v:stroke on="f"/>
              <v:imagedata o:title=""/>
              <o:lock v:ext="edit" aspectratio="f"/>
              <v:textbox inset="0mm,0mm,0mm,0mm" style="mso-fit-shape-to-text:t;">
                <w:txbxContent>
                  <w:p>
                    <w:pPr>
                      <w:pStyle w:val="2"/>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16BC5"/>
    <w:multiLevelType w:val="singleLevel"/>
    <w:tmpl w:val="47316BC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C6370"/>
    <w:rsid w:val="03AD4A60"/>
    <w:rsid w:val="0DBE5485"/>
    <w:rsid w:val="0FB1ED13"/>
    <w:rsid w:val="138D050E"/>
    <w:rsid w:val="15FB8EA7"/>
    <w:rsid w:val="17A5514A"/>
    <w:rsid w:val="17F90D9B"/>
    <w:rsid w:val="1BF9075A"/>
    <w:rsid w:val="1D577EA2"/>
    <w:rsid w:val="1DB65885"/>
    <w:rsid w:val="1DBDFBC9"/>
    <w:rsid w:val="1FDB8C67"/>
    <w:rsid w:val="2709249B"/>
    <w:rsid w:val="2DBFBC40"/>
    <w:rsid w:val="2DFDE716"/>
    <w:rsid w:val="2E7B3A54"/>
    <w:rsid w:val="2F6DEC47"/>
    <w:rsid w:val="2FDF01AE"/>
    <w:rsid w:val="2FF4864B"/>
    <w:rsid w:val="2FFB22A4"/>
    <w:rsid w:val="33476133"/>
    <w:rsid w:val="33D714C0"/>
    <w:rsid w:val="34BBC352"/>
    <w:rsid w:val="35FD630A"/>
    <w:rsid w:val="369EAFAC"/>
    <w:rsid w:val="36D10198"/>
    <w:rsid w:val="37E6ECC8"/>
    <w:rsid w:val="37FFDA62"/>
    <w:rsid w:val="38E56FCC"/>
    <w:rsid w:val="3AFF2EE8"/>
    <w:rsid w:val="3BDABEC6"/>
    <w:rsid w:val="3BF54923"/>
    <w:rsid w:val="3BFF17F9"/>
    <w:rsid w:val="3D7F7DD5"/>
    <w:rsid w:val="3DFE6730"/>
    <w:rsid w:val="3DFF1F5B"/>
    <w:rsid w:val="3EAB0813"/>
    <w:rsid w:val="3ECDB389"/>
    <w:rsid w:val="3F9713AE"/>
    <w:rsid w:val="3FBE452B"/>
    <w:rsid w:val="409E44AF"/>
    <w:rsid w:val="431C3141"/>
    <w:rsid w:val="4520531F"/>
    <w:rsid w:val="45FF8569"/>
    <w:rsid w:val="495FD348"/>
    <w:rsid w:val="4AFE2542"/>
    <w:rsid w:val="4B476D29"/>
    <w:rsid w:val="4CB41C9E"/>
    <w:rsid w:val="4D675867"/>
    <w:rsid w:val="4DF5448C"/>
    <w:rsid w:val="4E5D3FAD"/>
    <w:rsid w:val="4ED3CC05"/>
    <w:rsid w:val="4EE7823E"/>
    <w:rsid w:val="4F7F0F6C"/>
    <w:rsid w:val="515226C3"/>
    <w:rsid w:val="53FDAC02"/>
    <w:rsid w:val="53FFBDEB"/>
    <w:rsid w:val="54BF66A9"/>
    <w:rsid w:val="55237B85"/>
    <w:rsid w:val="55FE89AF"/>
    <w:rsid w:val="569BCBE4"/>
    <w:rsid w:val="56A21C02"/>
    <w:rsid w:val="56F75819"/>
    <w:rsid w:val="573D23C5"/>
    <w:rsid w:val="57ABD0BC"/>
    <w:rsid w:val="588F9D8D"/>
    <w:rsid w:val="5AFEA431"/>
    <w:rsid w:val="5B0F0C9E"/>
    <w:rsid w:val="5BDBA9BF"/>
    <w:rsid w:val="5CA772BC"/>
    <w:rsid w:val="5D3EFB57"/>
    <w:rsid w:val="5DB52F95"/>
    <w:rsid w:val="5DEA2796"/>
    <w:rsid w:val="5E77C89D"/>
    <w:rsid w:val="5EDFBC86"/>
    <w:rsid w:val="5EEE0E0E"/>
    <w:rsid w:val="5EFFF25A"/>
    <w:rsid w:val="5F5B3921"/>
    <w:rsid w:val="5FBD29CB"/>
    <w:rsid w:val="5FBF7A07"/>
    <w:rsid w:val="5FD82622"/>
    <w:rsid w:val="5FFFB2CA"/>
    <w:rsid w:val="63EB0F43"/>
    <w:rsid w:val="63F51A12"/>
    <w:rsid w:val="666F524E"/>
    <w:rsid w:val="67FC9BDC"/>
    <w:rsid w:val="6914059F"/>
    <w:rsid w:val="69C253C8"/>
    <w:rsid w:val="69FECB58"/>
    <w:rsid w:val="6A502537"/>
    <w:rsid w:val="6ADF26F4"/>
    <w:rsid w:val="6BF7ACEA"/>
    <w:rsid w:val="6BFE896C"/>
    <w:rsid w:val="6EE57227"/>
    <w:rsid w:val="6EEFE970"/>
    <w:rsid w:val="6EFE2D9F"/>
    <w:rsid w:val="6FDF5FD4"/>
    <w:rsid w:val="6FF96D33"/>
    <w:rsid w:val="73367BF4"/>
    <w:rsid w:val="73BF1F48"/>
    <w:rsid w:val="73FA93CF"/>
    <w:rsid w:val="73FB804A"/>
    <w:rsid w:val="74772C9E"/>
    <w:rsid w:val="75B7F74D"/>
    <w:rsid w:val="76B785F1"/>
    <w:rsid w:val="774E65D4"/>
    <w:rsid w:val="77D970E5"/>
    <w:rsid w:val="77DFF527"/>
    <w:rsid w:val="77FC4B6E"/>
    <w:rsid w:val="77FD1A6A"/>
    <w:rsid w:val="77FF625D"/>
    <w:rsid w:val="7A5F28C2"/>
    <w:rsid w:val="7AFF576F"/>
    <w:rsid w:val="7AFFB878"/>
    <w:rsid w:val="7B7708EE"/>
    <w:rsid w:val="7BC6063A"/>
    <w:rsid w:val="7BCFBD38"/>
    <w:rsid w:val="7BF2FDC5"/>
    <w:rsid w:val="7BFC57ED"/>
    <w:rsid w:val="7BFF4374"/>
    <w:rsid w:val="7C96545E"/>
    <w:rsid w:val="7D4F3E3E"/>
    <w:rsid w:val="7D5FEFA5"/>
    <w:rsid w:val="7D6CD867"/>
    <w:rsid w:val="7D764056"/>
    <w:rsid w:val="7D7DBA64"/>
    <w:rsid w:val="7D9FC4D8"/>
    <w:rsid w:val="7DFED623"/>
    <w:rsid w:val="7DFF4180"/>
    <w:rsid w:val="7E7538F9"/>
    <w:rsid w:val="7EB8C56E"/>
    <w:rsid w:val="7EB928EB"/>
    <w:rsid w:val="7EBFF697"/>
    <w:rsid w:val="7EFC0E7B"/>
    <w:rsid w:val="7EFC9B8D"/>
    <w:rsid w:val="7EFE4EAD"/>
    <w:rsid w:val="7EFF7404"/>
    <w:rsid w:val="7EFFC735"/>
    <w:rsid w:val="7F50710A"/>
    <w:rsid w:val="7F6F1D4B"/>
    <w:rsid w:val="7F748D63"/>
    <w:rsid w:val="7F77B9DA"/>
    <w:rsid w:val="7F9F6549"/>
    <w:rsid w:val="7FAF5D99"/>
    <w:rsid w:val="7FB47235"/>
    <w:rsid w:val="7FBEEAAC"/>
    <w:rsid w:val="7FBFA13F"/>
    <w:rsid w:val="7FCBBEBA"/>
    <w:rsid w:val="7FEEAFD2"/>
    <w:rsid w:val="7FEF8F94"/>
    <w:rsid w:val="7FEFDD07"/>
    <w:rsid w:val="7FF07130"/>
    <w:rsid w:val="7FF99BD5"/>
    <w:rsid w:val="7FF9F85E"/>
    <w:rsid w:val="7FFB59C1"/>
    <w:rsid w:val="7FFE0B86"/>
    <w:rsid w:val="7FFF7799"/>
    <w:rsid w:val="7FFF8484"/>
    <w:rsid w:val="7FFFEEE5"/>
    <w:rsid w:val="8BFEFC87"/>
    <w:rsid w:val="90FBB6AE"/>
    <w:rsid w:val="92DDA34E"/>
    <w:rsid w:val="93FCA4F3"/>
    <w:rsid w:val="96FD0614"/>
    <w:rsid w:val="9BFF7797"/>
    <w:rsid w:val="9E4E6617"/>
    <w:rsid w:val="9EC78753"/>
    <w:rsid w:val="9FAAAD1E"/>
    <w:rsid w:val="9FAD36FF"/>
    <w:rsid w:val="9FBFF697"/>
    <w:rsid w:val="9FFA9AFD"/>
    <w:rsid w:val="9FFB8AD4"/>
    <w:rsid w:val="A7F51AF6"/>
    <w:rsid w:val="A7FEB3B1"/>
    <w:rsid w:val="AAFF459F"/>
    <w:rsid w:val="ABEE8AF0"/>
    <w:rsid w:val="ADDE413E"/>
    <w:rsid w:val="ADFF1E01"/>
    <w:rsid w:val="B8DCC92C"/>
    <w:rsid w:val="BAB13A0D"/>
    <w:rsid w:val="BBD77E1F"/>
    <w:rsid w:val="BBEFE269"/>
    <w:rsid w:val="BBFBA881"/>
    <w:rsid w:val="BCF75867"/>
    <w:rsid w:val="BCFF9D6E"/>
    <w:rsid w:val="BD1BC2C7"/>
    <w:rsid w:val="BD7690B0"/>
    <w:rsid w:val="BDBFA14F"/>
    <w:rsid w:val="BDEEC5E1"/>
    <w:rsid w:val="BEF34AD8"/>
    <w:rsid w:val="BEF3D2E6"/>
    <w:rsid w:val="BEFFB7D0"/>
    <w:rsid w:val="BF22C904"/>
    <w:rsid w:val="BF3BD795"/>
    <w:rsid w:val="BFDF0F8C"/>
    <w:rsid w:val="BFEF4541"/>
    <w:rsid w:val="BFF7D9D8"/>
    <w:rsid w:val="BFFA78D4"/>
    <w:rsid w:val="BFFC642A"/>
    <w:rsid w:val="C67B7F41"/>
    <w:rsid w:val="C6FF2F6B"/>
    <w:rsid w:val="CB340FF9"/>
    <w:rsid w:val="CBFFFECB"/>
    <w:rsid w:val="CF5F3C76"/>
    <w:rsid w:val="CFC37AE3"/>
    <w:rsid w:val="CFCF4378"/>
    <w:rsid w:val="CFEF33B0"/>
    <w:rsid w:val="CFF65123"/>
    <w:rsid w:val="CFF8DECE"/>
    <w:rsid w:val="D73AD7DC"/>
    <w:rsid w:val="DAF7B794"/>
    <w:rsid w:val="DCFFC7DA"/>
    <w:rsid w:val="DD27EE3C"/>
    <w:rsid w:val="DDBA4366"/>
    <w:rsid w:val="DDFBF5DC"/>
    <w:rsid w:val="DE11FC53"/>
    <w:rsid w:val="DE6F9D4D"/>
    <w:rsid w:val="DE7D17E3"/>
    <w:rsid w:val="DE7FE1BC"/>
    <w:rsid w:val="DEBF8F76"/>
    <w:rsid w:val="DF7ED54A"/>
    <w:rsid w:val="DF97DC17"/>
    <w:rsid w:val="DFBDD0B0"/>
    <w:rsid w:val="DFC35436"/>
    <w:rsid w:val="DFCBD6AE"/>
    <w:rsid w:val="DFD7763D"/>
    <w:rsid w:val="DFD96B7E"/>
    <w:rsid w:val="DFEDC74E"/>
    <w:rsid w:val="DFF55861"/>
    <w:rsid w:val="DFF69220"/>
    <w:rsid w:val="DFF6FC90"/>
    <w:rsid w:val="DFFE273C"/>
    <w:rsid w:val="DFFF4100"/>
    <w:rsid w:val="E3379851"/>
    <w:rsid w:val="E3BDB839"/>
    <w:rsid w:val="E4FFDC32"/>
    <w:rsid w:val="E53B485A"/>
    <w:rsid w:val="E5B7C707"/>
    <w:rsid w:val="E657A35C"/>
    <w:rsid w:val="E65DCF39"/>
    <w:rsid w:val="E7B66ED8"/>
    <w:rsid w:val="E7FBEB55"/>
    <w:rsid w:val="E9FEA61A"/>
    <w:rsid w:val="EB76D68E"/>
    <w:rsid w:val="EBB9FF58"/>
    <w:rsid w:val="EBF6182D"/>
    <w:rsid w:val="EBFFD9A2"/>
    <w:rsid w:val="EC6DDFA3"/>
    <w:rsid w:val="ECF73D77"/>
    <w:rsid w:val="EDFE06ED"/>
    <w:rsid w:val="EDFE3535"/>
    <w:rsid w:val="EDFFB8CE"/>
    <w:rsid w:val="EE7BDC30"/>
    <w:rsid w:val="EEE94709"/>
    <w:rsid w:val="EF5BEFA1"/>
    <w:rsid w:val="EFF11AC6"/>
    <w:rsid w:val="F0D74422"/>
    <w:rsid w:val="F1FF93C6"/>
    <w:rsid w:val="F2F7A314"/>
    <w:rsid w:val="F33F86FA"/>
    <w:rsid w:val="F3EF72B4"/>
    <w:rsid w:val="F3F7F6FB"/>
    <w:rsid w:val="F551BBA4"/>
    <w:rsid w:val="F55F552F"/>
    <w:rsid w:val="F56FE98B"/>
    <w:rsid w:val="F5F7AECF"/>
    <w:rsid w:val="F5FB699F"/>
    <w:rsid w:val="F67B4ABB"/>
    <w:rsid w:val="F6FD0327"/>
    <w:rsid w:val="F73FD98A"/>
    <w:rsid w:val="F785B677"/>
    <w:rsid w:val="F79BFADD"/>
    <w:rsid w:val="F7ADB44B"/>
    <w:rsid w:val="F7BB17D9"/>
    <w:rsid w:val="F7E773A7"/>
    <w:rsid w:val="F7F3D891"/>
    <w:rsid w:val="F7FD181E"/>
    <w:rsid w:val="F7FF56AE"/>
    <w:rsid w:val="F7FFBA43"/>
    <w:rsid w:val="F8E0F921"/>
    <w:rsid w:val="F8F0B3C6"/>
    <w:rsid w:val="F92C20D0"/>
    <w:rsid w:val="F9739605"/>
    <w:rsid w:val="F9BD7614"/>
    <w:rsid w:val="F9EBAEDB"/>
    <w:rsid w:val="FABF459C"/>
    <w:rsid w:val="FB317F09"/>
    <w:rsid w:val="FB753F9B"/>
    <w:rsid w:val="FBE7BA79"/>
    <w:rsid w:val="FBFB0BCD"/>
    <w:rsid w:val="FBFBF127"/>
    <w:rsid w:val="FBFE39B7"/>
    <w:rsid w:val="FCF183EF"/>
    <w:rsid w:val="FCF7EE51"/>
    <w:rsid w:val="FD7E4A48"/>
    <w:rsid w:val="FD9AA252"/>
    <w:rsid w:val="FDDD7FF3"/>
    <w:rsid w:val="FDDE23EF"/>
    <w:rsid w:val="FDE67FF7"/>
    <w:rsid w:val="FDF7108F"/>
    <w:rsid w:val="FDF74333"/>
    <w:rsid w:val="FDFD28B8"/>
    <w:rsid w:val="FEDF64A3"/>
    <w:rsid w:val="FEEFA244"/>
    <w:rsid w:val="FF07AA46"/>
    <w:rsid w:val="FF1FB1C8"/>
    <w:rsid w:val="FF2EF43B"/>
    <w:rsid w:val="FF3DCC43"/>
    <w:rsid w:val="FF6D16D2"/>
    <w:rsid w:val="FF720985"/>
    <w:rsid w:val="FF7A362E"/>
    <w:rsid w:val="FFAB512A"/>
    <w:rsid w:val="FFAD8402"/>
    <w:rsid w:val="FFAEAFBB"/>
    <w:rsid w:val="FFAF1D94"/>
    <w:rsid w:val="FFB5A8F6"/>
    <w:rsid w:val="FFB6D1BE"/>
    <w:rsid w:val="FFBDBCE1"/>
    <w:rsid w:val="FFCFD87C"/>
    <w:rsid w:val="FFD53D7A"/>
    <w:rsid w:val="FFD5CBD3"/>
    <w:rsid w:val="FFDCB75F"/>
    <w:rsid w:val="FFDFEDDF"/>
    <w:rsid w:val="FFEBA0D9"/>
    <w:rsid w:val="FFEFDF93"/>
    <w:rsid w:val="FFF68358"/>
    <w:rsid w:val="FFFC32AE"/>
    <w:rsid w:val="FFFF5553"/>
    <w:rsid w:val="FFFFB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2025-02-12T09:46:27Z</cp:lastPrinted>
  <dcterms:modified xsi:type="dcterms:W3CDTF">2025-02-18T11:36:54Z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B35D36AC452346108FD0998C149FAB5D</vt:lpwstr>
  </property>
</Properties>
</file>