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t>额敏县应急管理局2024年度政府信息公开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t>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本报告根据《中华人民共和国政府信息公开条例》（国务院令第711号）、《关于印发&lt;中华人民共和国政府信息公开工作年度报告格式&gt;的通知》（国办公开办函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6"/>
          <w:szCs w:val="36"/>
          <w:lang w:val="en-US" w:eastAsia="zh-CN"/>
        </w:rPr>
        <w:t>2021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6"/>
          <w:szCs w:val="36"/>
          <w:lang w:val="en-US" w:eastAsia="zh-CN"/>
        </w:rPr>
        <w:t>号</w:t>
      </w:r>
      <w:r>
        <w:rPr>
          <w:rFonts w:hint="eastAsia" w:ascii="仿宋_GB2312" w:hAnsi="仿宋_GB2312" w:eastAsia="仿宋_GB2312" w:cs="仿宋_GB2312"/>
          <w:sz w:val="32"/>
          <w:szCs w:val="32"/>
          <w:lang w:val="en-US" w:eastAsia="zh-CN"/>
        </w:rPr>
        <w:t>）、地区《关于做好2024年政府信息公开工作年度报告编制发布工作的通知》要求编制。报告全文包括总体情况、主动公开政府信息情况、收到和处理政府信息公开申请情况、因政府信息公开工作被申请行政复议和提起行政诉讼情况、政府信息公开工作存在的主要问题及改进情况，以及其他需要报告的事项六个部分。报告统计期限为2024年1月1日至2024年12月31日。如本报告有疑问，请与额敏县应急管理局办公室联系（地址：额敏县文化路25号；邮编834600；电话及传真：0901-3349000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sz w:val="32"/>
          <w:szCs w:val="32"/>
        </w:rPr>
      </w:pPr>
      <w:r>
        <w:rPr>
          <w:rFonts w:hint="eastAsia" w:ascii="黑体" w:hAnsi="黑体" w:eastAsia="黑体" w:cs="宋体"/>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按照《中华人民共和国政府信息公开条例》，认真贯彻落实关于政府信息公开有关文件精神，把职能范围内的政务信息及时向社会公布，方便群众办事，接受社会监督。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i w:val="0"/>
          <w:iCs w:val="0"/>
          <w:caps w:val="0"/>
          <w:color w:val="333333"/>
          <w:spacing w:val="0"/>
          <w:kern w:val="0"/>
          <w:sz w:val="32"/>
          <w:szCs w:val="32"/>
          <w:highlight w:val="none"/>
          <w:shd w:val="clear" w:color="auto" w:fill="FFFFFF"/>
          <w:lang w:val="en-US" w:eastAsia="zh-CN" w:bidi="ar"/>
        </w:rPr>
      </w:pPr>
      <w:r>
        <w:rPr>
          <w:rFonts w:hint="eastAsia" w:ascii="楷体" w:hAnsi="楷体" w:eastAsia="楷体" w:cs="楷体"/>
          <w:b/>
          <w:bCs/>
          <w:i w:val="0"/>
          <w:iCs w:val="0"/>
          <w:caps w:val="0"/>
          <w:color w:val="333333"/>
          <w:spacing w:val="0"/>
          <w:kern w:val="0"/>
          <w:sz w:val="32"/>
          <w:szCs w:val="32"/>
          <w:shd w:val="clear" w:color="auto" w:fill="FFFFFF"/>
          <w:lang w:val="en-US" w:eastAsia="zh-CN" w:bidi="ar"/>
        </w:rPr>
        <w:t>（一）主动公开情况。</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以公开为原则，以不公开为例外，主动公开政府信息。2024年，额敏县应急管理局及时为群众提供了行政审批、安全生产违法处罚全面事项等动态信息，</w:t>
      </w:r>
      <w:r>
        <w:rPr>
          <w:rFonts w:hint="eastAsia" w:ascii="仿宋_GB2312" w:hAnsi="仿宋_GB2312" w:eastAsia="仿宋_GB2312" w:cs="仿宋_GB2312"/>
          <w:b w:val="0"/>
          <w:bCs w:val="0"/>
          <w:i w:val="0"/>
          <w:iCs w:val="0"/>
          <w:caps w:val="0"/>
          <w:color w:val="333333"/>
          <w:spacing w:val="0"/>
          <w:kern w:val="0"/>
          <w:sz w:val="32"/>
          <w:szCs w:val="32"/>
          <w:highlight w:val="none"/>
          <w:shd w:val="clear" w:color="auto" w:fill="FFFFFF"/>
          <w:lang w:val="en-US" w:eastAsia="zh-CN" w:bidi="ar"/>
        </w:rPr>
        <w:t>对行政许可、处罚情况等及时予以公开。全年共公示21条。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楷体" w:hAnsi="楷体" w:eastAsia="楷体" w:cs="楷体"/>
          <w:b/>
          <w:bCs/>
          <w:i w:val="0"/>
          <w:iCs w:val="0"/>
          <w:caps w:val="0"/>
          <w:color w:val="333333"/>
          <w:spacing w:val="0"/>
          <w:kern w:val="0"/>
          <w:sz w:val="32"/>
          <w:szCs w:val="32"/>
          <w:shd w:val="clear" w:color="auto" w:fill="FFFFFF"/>
          <w:lang w:val="en-US" w:eastAsia="zh-CN" w:bidi="ar"/>
        </w:rPr>
        <w:t>（二）依申请公开情况。</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2024年度额敏县应急管理局没有发生依申请公开政府信息和不予公开政府信息的情况。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楷体" w:hAnsi="楷体" w:eastAsia="楷体" w:cs="楷体"/>
          <w:b/>
          <w:bCs/>
          <w:i w:val="0"/>
          <w:iCs w:val="0"/>
          <w:caps w:val="0"/>
          <w:color w:val="333333"/>
          <w:spacing w:val="0"/>
          <w:kern w:val="0"/>
          <w:sz w:val="32"/>
          <w:szCs w:val="32"/>
          <w:shd w:val="clear" w:color="auto" w:fill="FFFFFF"/>
          <w:lang w:val="en-US" w:eastAsia="zh-CN" w:bidi="ar"/>
        </w:rPr>
        <w:t>（三）政府信息管理情况。</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加强信息管理，对上网发布公开的信息，先通过“三审三校”审核制度，检查语言文字表述、图片规范、是否涉密等，然后报送相关部门，依次进行审核，杜绝涉及敏感内容的信息。加强信息时效性管理，信息类别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楷体" w:hAnsi="楷体" w:eastAsia="楷体" w:cs="楷体"/>
          <w:b/>
          <w:bCs/>
          <w:i w:val="0"/>
          <w:iCs w:val="0"/>
          <w:caps w:val="0"/>
          <w:color w:val="333333"/>
          <w:spacing w:val="0"/>
          <w:kern w:val="0"/>
          <w:sz w:val="32"/>
          <w:szCs w:val="32"/>
          <w:shd w:val="clear" w:color="auto" w:fill="FFFFFF"/>
          <w:lang w:val="en-US" w:eastAsia="zh-CN" w:bidi="ar"/>
        </w:rPr>
        <w:t>（四）平台建设情况。</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及时利用系统的管理平台，逐步建立完善互联网+监管平台建设。加强行政监督主动公开，涉及安全生产违法行为处罚信息。积极配合做好政府网站建设相关工作，提升网上履职能力和服务水平。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楷体" w:hAnsi="楷体" w:eastAsia="楷体" w:cs="楷体"/>
          <w:b/>
          <w:bCs/>
          <w:i w:val="0"/>
          <w:iCs w:val="0"/>
          <w:caps w:val="0"/>
          <w:color w:val="333333"/>
          <w:spacing w:val="0"/>
          <w:kern w:val="0"/>
          <w:sz w:val="32"/>
          <w:szCs w:val="32"/>
          <w:shd w:val="clear" w:color="auto" w:fill="FFFFFF"/>
          <w:lang w:val="en-US" w:eastAsia="zh-CN" w:bidi="ar"/>
        </w:rPr>
        <w:t>（五）监督保障情况。</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额敏县应急管理局政府信息公开工作以各科室负责人具体负责和行政信息公开专人负责相结合，局办公室积极配合的本局政府信息公开工作模式。额敏县应急管理局在县政府网站发布内容均经过“三审三校”后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sz w:val="32"/>
          <w:szCs w:val="32"/>
        </w:rPr>
      </w:pPr>
      <w:r>
        <w:rPr>
          <w:rFonts w:hint="eastAsia" w:ascii="黑体" w:hAnsi="黑体" w:eastAsia="黑体" w:cs="宋体"/>
          <w:sz w:val="32"/>
          <w:szCs w:val="32"/>
        </w:rPr>
        <w:t>二、主动公开政府信息情况</w:t>
      </w: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2200"/>
        <w:gridCol w:w="180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本年制</w:t>
            </w:r>
            <w:r>
              <w:rPr>
                <w:rFonts w:hint="eastAsia" w:ascii="黑体" w:hAnsi="黑体" w:eastAsia="黑体" w:cs="黑体"/>
                <w:sz w:val="24"/>
                <w:szCs w:val="24"/>
                <w:lang w:eastAsia="zh-CN"/>
              </w:rPr>
              <w:t>发件数</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本年</w:t>
            </w:r>
            <w:r>
              <w:rPr>
                <w:rFonts w:hint="eastAsia" w:ascii="黑体" w:hAnsi="黑体" w:eastAsia="黑体" w:cs="黑体"/>
                <w:sz w:val="24"/>
                <w:szCs w:val="24"/>
                <w:lang w:eastAsia="zh-CN"/>
              </w:rPr>
              <w:t>废止件数</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规章</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规范性文件</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行政许可</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行政处罚</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US" w:eastAsia="zh-CN"/>
              </w:rPr>
            </w:pPr>
            <w:r>
              <w:rPr>
                <w:rFonts w:hint="eastAsia"/>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行政强制</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行政事业性收费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bl>
    <w:p>
      <w:pPr>
        <w:pStyle w:val="4"/>
        <w:widowControl/>
        <w:spacing w:before="0" w:beforeAutospacing="0" w:after="0" w:afterAutospacing="0" w:line="560" w:lineRule="exact"/>
        <w:ind w:firstLine="640" w:firstLineChars="200"/>
        <w:jc w:val="both"/>
        <w:rPr>
          <w:rFonts w:hint="eastAsia" w:ascii="黑体" w:hAnsi="黑体" w:eastAsia="黑体" w:cs="黑体"/>
          <w:sz w:val="32"/>
          <w:szCs w:val="30"/>
        </w:rPr>
      </w:pPr>
      <w:r>
        <w:rPr>
          <w:rFonts w:hint="eastAsia" w:ascii="黑体" w:hAnsi="黑体" w:eastAsia="黑体" w:cs="黑体"/>
          <w:sz w:val="32"/>
          <w:szCs w:val="30"/>
        </w:rPr>
        <w:t>三、收到和处理政府信息公开申请情况</w:t>
      </w:r>
    </w:p>
    <w:tbl>
      <w:tblPr>
        <w:tblStyle w:val="5"/>
        <w:tblW w:w="9055"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7"/>
        <w:gridCol w:w="1009"/>
        <w:gridCol w:w="2979"/>
        <w:gridCol w:w="491"/>
        <w:gridCol w:w="703"/>
        <w:gridCol w:w="703"/>
        <w:gridCol w:w="703"/>
        <w:gridCol w:w="703"/>
        <w:gridCol w:w="514"/>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（本列数据的勾稽关系为：第一项加第二项之和，等于第三项加第四项之和）</w:t>
            </w:r>
          </w:p>
        </w:tc>
        <w:tc>
          <w:tcPr>
            <w:tcW w:w="4320" w:type="dxa"/>
            <w:gridSpan w:val="7"/>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continue"/>
            <w:noWrap w:val="0"/>
            <w:tcMar>
              <w:left w:w="108" w:type="dxa"/>
              <w:right w:w="108" w:type="dxa"/>
            </w:tcMar>
            <w:vAlign w:val="center"/>
          </w:tcPr>
          <w:p>
            <w:pPr>
              <w:rPr>
                <w:rFonts w:hint="eastAsia" w:ascii="黑体" w:hAnsi="黑体" w:eastAsia="黑体" w:cs="黑体"/>
                <w:sz w:val="24"/>
                <w:szCs w:val="24"/>
              </w:rPr>
            </w:pPr>
          </w:p>
        </w:tc>
        <w:tc>
          <w:tcPr>
            <w:tcW w:w="491" w:type="dxa"/>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自然人</w:t>
            </w:r>
          </w:p>
        </w:tc>
        <w:tc>
          <w:tcPr>
            <w:tcW w:w="3326" w:type="dxa"/>
            <w:gridSpan w:val="5"/>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法人或其他组织</w:t>
            </w:r>
          </w:p>
        </w:tc>
        <w:tc>
          <w:tcPr>
            <w:tcW w:w="503" w:type="dxa"/>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continue"/>
            <w:noWrap w:val="0"/>
            <w:tcMar>
              <w:left w:w="108" w:type="dxa"/>
              <w:right w:w="108" w:type="dxa"/>
            </w:tcMar>
            <w:vAlign w:val="center"/>
          </w:tcPr>
          <w:p>
            <w:pPr>
              <w:rPr>
                <w:rFonts w:hint="eastAsia" w:ascii="宋体" w:hAnsi="宋体" w:eastAsia="宋体" w:cs="宋体"/>
                <w:sz w:val="24"/>
                <w:szCs w:val="24"/>
              </w:rPr>
            </w:pPr>
          </w:p>
        </w:tc>
        <w:tc>
          <w:tcPr>
            <w:tcW w:w="491" w:type="dxa"/>
            <w:vMerge w:val="continue"/>
            <w:noWrap w:val="0"/>
            <w:tcMar>
              <w:left w:w="108" w:type="dxa"/>
              <w:right w:w="108" w:type="dxa"/>
            </w:tcMar>
            <w:vAlign w:val="center"/>
          </w:tcPr>
          <w:p>
            <w:pPr>
              <w:rPr>
                <w:rFonts w:hint="eastAsia" w:ascii="宋体" w:hAnsi="宋体" w:eastAsia="宋体" w:cs="宋体"/>
                <w:sz w:val="24"/>
                <w:szCs w:val="24"/>
              </w:rPr>
            </w:pP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商业企业</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科研机构</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社会公益组织</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法律服务机构</w:t>
            </w:r>
          </w:p>
        </w:tc>
        <w:tc>
          <w:tcPr>
            <w:tcW w:w="514"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其他</w:t>
            </w:r>
          </w:p>
        </w:tc>
        <w:tc>
          <w:tcPr>
            <w:tcW w:w="503" w:type="dxa"/>
            <w:vMerge w:val="continue"/>
            <w:noWrap w:val="0"/>
            <w:tcMar>
              <w:left w:w="108" w:type="dxa"/>
              <w:right w:w="108" w:type="dxa"/>
            </w:tcMar>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35" w:type="dxa"/>
            <w:gridSpan w:val="3"/>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一、本年新收政府信息公开申请数量</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35" w:type="dxa"/>
            <w:gridSpan w:val="3"/>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二、上年结转政府信息公开申请数量</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restart"/>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三、本年度办理结果</w:t>
            </w:r>
          </w:p>
        </w:tc>
        <w:tc>
          <w:tcPr>
            <w:tcW w:w="3988" w:type="dxa"/>
            <w:gridSpan w:val="2"/>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rPr>
              <w:t>（一）予以公开</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8"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3988" w:type="dxa"/>
            <w:gridSpan w:val="2"/>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rPr>
              <w:t>（二）部分公开（区分处理的，只计这一情形，不计其他情形）</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numPr>
                <w:ilvl w:val="0"/>
                <w:numId w:val="1"/>
              </w:numPr>
              <w:jc w:val="center"/>
              <w:rPr>
                <w:rFonts w:hint="eastAsia" w:ascii="宋体" w:hAnsi="宋体" w:eastAsia="宋体" w:cs="宋体"/>
                <w:outline w:val="0"/>
                <w:shadow w:val="0"/>
                <w:emboss w:val="0"/>
                <w:imprint w:val="0"/>
                <w:vanish w:val="0"/>
                <w:spacing w:val="-11"/>
                <w:w w:val="100"/>
                <w:sz w:val="24"/>
                <w:szCs w:val="24"/>
                <w:u w:val="none"/>
              </w:rPr>
            </w:pPr>
          </w:p>
          <w:p>
            <w:pPr>
              <w:numPr>
                <w:ilvl w:val="0"/>
                <w:numId w:val="0"/>
              </w:numPr>
              <w:jc w:val="center"/>
              <w:rPr>
                <w:rFonts w:hint="eastAsia" w:ascii="宋体" w:hAnsi="宋体" w:eastAsia="宋体" w:cs="宋体"/>
                <w:outline w:val="0"/>
                <w:shadow w:val="0"/>
                <w:emboss w:val="0"/>
                <w:imprint w:val="0"/>
                <w:vanish w:val="0"/>
                <w:spacing w:val="-11"/>
                <w:w w:val="100"/>
                <w:sz w:val="24"/>
                <w:szCs w:val="24"/>
                <w:u w:val="none"/>
              </w:rPr>
            </w:pPr>
            <w:r>
              <w:rPr>
                <w:rFonts w:hint="eastAsia" w:ascii="宋体" w:hAnsi="宋体" w:eastAsia="宋体" w:cs="宋体"/>
                <w:outline w:val="0"/>
                <w:shadow w:val="0"/>
                <w:emboss w:val="0"/>
                <w:imprint w:val="0"/>
                <w:vanish w:val="0"/>
                <w:spacing w:val="-11"/>
                <w:w w:val="100"/>
                <w:sz w:val="24"/>
                <w:szCs w:val="24"/>
                <w:u w:val="none"/>
              </w:rPr>
              <w:t>不予</w:t>
            </w:r>
          </w:p>
          <w:p>
            <w:pPr>
              <w:numPr>
                <w:ilvl w:val="0"/>
                <w:numId w:val="0"/>
              </w:numPr>
              <w:jc w:val="center"/>
              <w:rPr>
                <w:rFonts w:hint="eastAsia" w:ascii="宋体" w:hAnsi="宋体" w:eastAsia="宋体" w:cs="宋体"/>
                <w:sz w:val="24"/>
                <w:szCs w:val="24"/>
              </w:rPr>
            </w:pPr>
            <w:r>
              <w:rPr>
                <w:rFonts w:hint="eastAsia" w:ascii="宋体" w:hAnsi="宋体" w:eastAsia="宋体" w:cs="宋体"/>
                <w:outline w:val="0"/>
                <w:shadow w:val="0"/>
                <w:emboss w:val="0"/>
                <w:imprint w:val="0"/>
                <w:vanish w:val="0"/>
                <w:spacing w:val="-11"/>
                <w:w w:val="100"/>
                <w:sz w:val="24"/>
                <w:szCs w:val="24"/>
                <w:u w:val="none"/>
              </w:rPr>
              <w:t>公开</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1</w:t>
            </w:r>
            <w:r>
              <w:rPr>
                <w:rFonts w:hint="eastAsia" w:ascii="宋体" w:hAnsi="宋体" w:eastAsia="宋体" w:cs="宋体"/>
                <w:sz w:val="24"/>
                <w:szCs w:val="24"/>
              </w:rPr>
              <w:t>.属于国家秘密</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2</w:t>
            </w:r>
            <w:r>
              <w:rPr>
                <w:rFonts w:hint="eastAsia" w:ascii="宋体" w:hAnsi="宋体" w:eastAsia="宋体" w:cs="宋体"/>
                <w:sz w:val="24"/>
                <w:szCs w:val="24"/>
              </w:rPr>
              <w:t>.其他法律行政法规禁止公开</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3</w:t>
            </w:r>
            <w:r>
              <w:rPr>
                <w:rFonts w:hint="eastAsia" w:ascii="宋体" w:hAnsi="宋体" w:eastAsia="宋体" w:cs="宋体"/>
                <w:sz w:val="24"/>
                <w:szCs w:val="24"/>
              </w:rPr>
              <w:t>.危及“三安全一稳定”</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4</w:t>
            </w:r>
            <w:r>
              <w:rPr>
                <w:rFonts w:hint="eastAsia" w:ascii="宋体" w:hAnsi="宋体" w:eastAsia="宋体" w:cs="宋体"/>
                <w:sz w:val="24"/>
                <w:szCs w:val="24"/>
              </w:rPr>
              <w:t>.保护第三方合法权益</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5</w:t>
            </w:r>
            <w:r>
              <w:rPr>
                <w:rFonts w:hint="eastAsia" w:ascii="宋体" w:hAnsi="宋体" w:eastAsia="宋体" w:cs="宋体"/>
                <w:sz w:val="24"/>
                <w:szCs w:val="24"/>
              </w:rPr>
              <w:t>.属于三类内部事务信息</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6</w:t>
            </w:r>
            <w:r>
              <w:rPr>
                <w:rFonts w:hint="eastAsia" w:ascii="宋体" w:hAnsi="宋体" w:eastAsia="宋体" w:cs="宋体"/>
                <w:sz w:val="24"/>
                <w:szCs w:val="24"/>
              </w:rPr>
              <w:t>.属于四类过程性信息</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7</w:t>
            </w:r>
            <w:r>
              <w:rPr>
                <w:rFonts w:hint="eastAsia" w:ascii="宋体" w:hAnsi="宋体" w:eastAsia="宋体" w:cs="宋体"/>
                <w:sz w:val="24"/>
                <w:szCs w:val="24"/>
              </w:rPr>
              <w:t>.属于行政执法案卷</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8</w:t>
            </w:r>
            <w:r>
              <w:rPr>
                <w:rFonts w:hint="eastAsia" w:ascii="宋体" w:hAnsi="宋体" w:eastAsia="宋体" w:cs="宋体"/>
                <w:sz w:val="24"/>
                <w:szCs w:val="24"/>
              </w:rPr>
              <w:t>.属于行政查询事项</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6"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（四）无法</w:t>
            </w:r>
          </w:p>
          <w:p>
            <w:pPr>
              <w:jc w:val="center"/>
              <w:rPr>
                <w:rFonts w:hint="eastAsia" w:ascii="宋体" w:hAnsi="宋体" w:eastAsia="宋体" w:cs="宋体"/>
                <w:sz w:val="24"/>
                <w:szCs w:val="24"/>
              </w:rPr>
            </w:pPr>
            <w:r>
              <w:rPr>
                <w:rFonts w:hint="eastAsia" w:ascii="宋体" w:hAnsi="宋体" w:eastAsia="宋体" w:cs="宋体"/>
                <w:sz w:val="24"/>
                <w:szCs w:val="24"/>
              </w:rPr>
              <w:t>提供</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1</w:t>
            </w:r>
            <w:r>
              <w:rPr>
                <w:rFonts w:hint="eastAsia" w:ascii="宋体" w:hAnsi="宋体" w:eastAsia="宋体" w:cs="宋体"/>
                <w:sz w:val="24"/>
                <w:szCs w:val="24"/>
              </w:rPr>
              <w:t>.本机关不掌握相关政府信息</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2</w:t>
            </w:r>
            <w:r>
              <w:rPr>
                <w:rFonts w:hint="eastAsia" w:ascii="宋体" w:hAnsi="宋体" w:eastAsia="宋体" w:cs="宋体"/>
                <w:sz w:val="24"/>
                <w:szCs w:val="24"/>
              </w:rPr>
              <w:t>.没有现成信息需要另行制作</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3</w:t>
            </w:r>
            <w:r>
              <w:rPr>
                <w:rFonts w:hint="eastAsia" w:ascii="宋体" w:hAnsi="宋体" w:eastAsia="宋体" w:cs="宋体"/>
                <w:sz w:val="24"/>
                <w:szCs w:val="24"/>
              </w:rPr>
              <w:t>.</w:t>
            </w:r>
            <w:r>
              <w:rPr>
                <w:rFonts w:hint="eastAsia" w:ascii="宋体" w:hAnsi="宋体" w:eastAsia="宋体" w:cs="宋体"/>
                <w:spacing w:val="-6"/>
                <w:sz w:val="24"/>
                <w:szCs w:val="24"/>
              </w:rPr>
              <w:t>补正后申请内容仍不明确</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numPr>
                <w:ilvl w:val="0"/>
                <w:numId w:val="0"/>
              </w:numPr>
              <w:ind w:leftChars="0"/>
              <w:jc w:val="both"/>
              <w:rPr>
                <w:rFonts w:hint="eastAsia" w:ascii="宋体" w:hAnsi="宋体" w:eastAsia="宋体" w:cs="宋体"/>
                <w:sz w:val="24"/>
                <w:szCs w:val="24"/>
                <w:lang w:eastAsia="zh-CN"/>
              </w:rPr>
            </w:pPr>
            <w:r>
              <w:rPr>
                <w:rFonts w:hint="eastAsia" w:ascii="宋体" w:hAnsi="宋体" w:cs="宋体"/>
                <w:sz w:val="24"/>
                <w:szCs w:val="24"/>
                <w:lang w:eastAsia="zh-CN"/>
              </w:rPr>
              <w:t>（五）</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不予</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处理</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1</w:t>
            </w:r>
            <w:r>
              <w:rPr>
                <w:rFonts w:hint="eastAsia" w:ascii="宋体" w:hAnsi="宋体" w:eastAsia="宋体" w:cs="宋体"/>
                <w:sz w:val="24"/>
                <w:szCs w:val="24"/>
              </w:rPr>
              <w:t>.信访举报投诉类申请</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2</w:t>
            </w:r>
            <w:r>
              <w:rPr>
                <w:rFonts w:hint="eastAsia" w:ascii="宋体" w:hAnsi="宋体" w:eastAsia="宋体" w:cs="宋体"/>
                <w:sz w:val="24"/>
                <w:szCs w:val="24"/>
              </w:rPr>
              <w:t>.重复申请</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3</w:t>
            </w:r>
            <w:r>
              <w:rPr>
                <w:rFonts w:hint="eastAsia" w:ascii="宋体" w:hAnsi="宋体" w:eastAsia="宋体" w:cs="宋体"/>
                <w:sz w:val="24"/>
                <w:szCs w:val="24"/>
              </w:rPr>
              <w:t>.要求提供公开出版物</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4</w:t>
            </w:r>
            <w:r>
              <w:rPr>
                <w:rFonts w:hint="eastAsia" w:ascii="宋体" w:hAnsi="宋体" w:eastAsia="宋体" w:cs="宋体"/>
                <w:sz w:val="24"/>
                <w:szCs w:val="24"/>
              </w:rPr>
              <w:t>.</w:t>
            </w:r>
            <w:r>
              <w:rPr>
                <w:rFonts w:hint="eastAsia" w:ascii="宋体" w:hAnsi="宋体" w:eastAsia="宋体" w:cs="宋体"/>
                <w:outline w:val="0"/>
                <w:shadow w:val="0"/>
                <w:emboss w:val="0"/>
                <w:imprint w:val="0"/>
                <w:vanish w:val="0"/>
                <w:spacing w:val="-6"/>
                <w:w w:val="100"/>
                <w:sz w:val="24"/>
                <w:szCs w:val="24"/>
                <w:u w:val="none"/>
              </w:rPr>
              <w:t>无正当理由大量反复申请</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7"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bottom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bottom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5</w:t>
            </w:r>
            <w:r>
              <w:rPr>
                <w:rFonts w:hint="eastAsia" w:ascii="宋体" w:hAnsi="宋体" w:eastAsia="宋体" w:cs="宋体"/>
                <w:sz w:val="24"/>
                <w:szCs w:val="24"/>
              </w:rPr>
              <w:t>.要求行政机关确认或重新出具已获取信息</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9" w:hRule="atLeast"/>
          <w:jc w:val="center"/>
        </w:trPr>
        <w:tc>
          <w:tcPr>
            <w:tcW w:w="747" w:type="dxa"/>
            <w:vMerge w:val="restart"/>
            <w:tcBorders>
              <w:right w:val="single" w:color="auto" w:sz="4" w:space="0"/>
            </w:tcBorders>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三、本年度办理结果</w:t>
            </w:r>
          </w:p>
        </w:tc>
        <w:tc>
          <w:tcPr>
            <w:tcW w:w="1009"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numPr>
                <w:ilvl w:val="0"/>
                <w:numId w:val="0"/>
              </w:numPr>
              <w:ind w:leftChars="0"/>
              <w:jc w:val="both"/>
              <w:rPr>
                <w:rFonts w:hint="eastAsia" w:ascii="宋体" w:hAnsi="宋体" w:eastAsia="宋体" w:cs="宋体"/>
                <w:sz w:val="24"/>
                <w:szCs w:val="24"/>
                <w:lang w:eastAsia="zh-CN"/>
              </w:rPr>
            </w:pPr>
            <w:r>
              <w:rPr>
                <w:rFonts w:hint="eastAsia" w:ascii="宋体" w:hAnsi="宋体" w:cs="宋体"/>
                <w:sz w:val="24"/>
                <w:szCs w:val="24"/>
                <w:lang w:eastAsia="zh-CN"/>
              </w:rPr>
              <w:t>（六）</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其他</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处理</w:t>
            </w:r>
          </w:p>
        </w:tc>
        <w:tc>
          <w:tcPr>
            <w:tcW w:w="2979" w:type="dxa"/>
            <w:tcBorders>
              <w:top w:val="single" w:color="auto" w:sz="4" w:space="0"/>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1</w:t>
            </w:r>
            <w:r>
              <w:rPr>
                <w:rFonts w:hint="eastAsia" w:ascii="宋体" w:hAnsi="宋体" w:eastAsia="宋体" w:cs="宋体"/>
                <w:sz w:val="24"/>
                <w:szCs w:val="24"/>
                <w:lang w:val="en-US" w:eastAsia="zh-CN"/>
              </w:rPr>
              <w:t>.申请人无正当理由逾期不补正、行政机关不再处理其政府信息公开申请</w:t>
            </w:r>
          </w:p>
        </w:tc>
        <w:tc>
          <w:tcPr>
            <w:tcW w:w="491" w:type="dxa"/>
            <w:tcBorders>
              <w:left w:val="single" w:color="auto" w:sz="4" w:space="0"/>
            </w:tcBorders>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2</w:t>
            </w:r>
            <w:r>
              <w:rPr>
                <w:rFonts w:hint="eastAsia" w:ascii="宋体" w:hAnsi="宋体" w:eastAsia="宋体" w:cs="宋体"/>
                <w:sz w:val="24"/>
                <w:szCs w:val="24"/>
                <w:lang w:val="en-US" w:eastAsia="zh-CN"/>
              </w:rPr>
              <w:t>.申请人逾期未按收费通知要求缴纳费用、行政机关不再处理其政府信息公开申请</w:t>
            </w:r>
          </w:p>
        </w:tc>
        <w:tc>
          <w:tcPr>
            <w:tcW w:w="491" w:type="dxa"/>
            <w:tcBorders>
              <w:left w:val="single" w:color="auto" w:sz="4" w:space="0"/>
            </w:tcBorders>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3</w:t>
            </w:r>
            <w:r>
              <w:rPr>
                <w:rFonts w:hint="eastAsia" w:ascii="宋体" w:hAnsi="宋体" w:eastAsia="宋体" w:cs="宋体"/>
                <w:sz w:val="24"/>
                <w:szCs w:val="24"/>
                <w:lang w:val="en-US" w:eastAsia="zh-CN"/>
              </w:rPr>
              <w:t>.其他</w:t>
            </w:r>
          </w:p>
        </w:tc>
        <w:tc>
          <w:tcPr>
            <w:tcW w:w="491" w:type="dxa"/>
            <w:tcBorders>
              <w:left w:val="single" w:color="auto" w:sz="4" w:space="0"/>
            </w:tcBorders>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3988" w:type="dxa"/>
            <w:gridSpan w:val="2"/>
            <w:tcBorders>
              <w:top w:val="single" w:color="auto" w:sz="4" w:space="0"/>
            </w:tcBorders>
            <w:noWrap w:val="0"/>
            <w:tcMar>
              <w:left w:w="108" w:type="dxa"/>
              <w:right w:w="108" w:type="dxa"/>
            </w:tcMar>
            <w:vAlign w:val="center"/>
          </w:tcPr>
          <w:p>
            <w:pPr>
              <w:jc w:val="left"/>
              <w:rPr>
                <w:rFonts w:hint="eastAsia" w:ascii="宋体" w:hAnsi="宋体" w:eastAsia="宋体" w:cs="宋体"/>
                <w:sz w:val="24"/>
                <w:szCs w:val="24"/>
              </w:rPr>
            </w:pPr>
            <w:r>
              <w:rPr>
                <w:rFonts w:hint="eastAsia" w:ascii="宋体" w:hAnsi="宋体" w:eastAsia="宋体" w:cs="宋体"/>
                <w:sz w:val="24"/>
                <w:szCs w:val="24"/>
              </w:rPr>
              <w:t>（七）总计</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735" w:type="dxa"/>
            <w:gridSpan w:val="3"/>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四、结转下年度继续办理</w:t>
            </w:r>
          </w:p>
        </w:tc>
        <w:tc>
          <w:tcPr>
            <w:tcW w:w="491"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bl>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四、政府信息公开行政复议、行政诉讼情况</w:t>
      </w:r>
    </w:p>
    <w:tbl>
      <w:tblPr>
        <w:tblStyle w:val="5"/>
        <w:tblW w:w="9058"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525"/>
        <w:gridCol w:w="542"/>
        <w:gridCol w:w="525"/>
        <w:gridCol w:w="598"/>
        <w:gridCol w:w="607"/>
        <w:gridCol w:w="558"/>
        <w:gridCol w:w="687"/>
        <w:gridCol w:w="591"/>
        <w:gridCol w:w="721"/>
        <w:gridCol w:w="687"/>
        <w:gridCol w:w="638"/>
        <w:gridCol w:w="638"/>
        <w:gridCol w:w="638"/>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72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行政复议</w:t>
            </w:r>
          </w:p>
        </w:tc>
        <w:tc>
          <w:tcPr>
            <w:tcW w:w="6336"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3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52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54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52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598"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计</w:t>
            </w:r>
          </w:p>
        </w:tc>
        <w:tc>
          <w:tcPr>
            <w:tcW w:w="3164"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未经复议直接起诉</w:t>
            </w:r>
          </w:p>
        </w:tc>
        <w:tc>
          <w:tcPr>
            <w:tcW w:w="317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0" w:hRule="atLeast"/>
          <w:jc w:val="center"/>
        </w:trPr>
        <w:tc>
          <w:tcPr>
            <w:tcW w:w="532" w:type="dxa"/>
            <w:vMerge w:val="continue"/>
            <w:tcBorders>
              <w:top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2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2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9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6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55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7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val="en-US" w:eastAsia="zh-CN" w:bidi="ar"/>
              </w:rPr>
            </w:pPr>
            <w:r>
              <w:rPr>
                <w:rFonts w:hint="eastAsia" w:ascii="黑体" w:hAnsi="黑体" w:eastAsia="黑体" w:cs="黑体"/>
                <w:kern w:val="0"/>
                <w:sz w:val="24"/>
                <w:lang w:bidi="ar"/>
              </w:rPr>
              <w:t>总</w:t>
            </w:r>
            <w:r>
              <w:rPr>
                <w:rFonts w:hint="eastAsia" w:ascii="黑体" w:hAnsi="黑体" w:eastAsia="黑体" w:cs="黑体"/>
                <w:kern w:val="0"/>
                <w:sz w:val="24"/>
                <w:lang w:val="en-US" w:eastAsia="zh-CN" w:bidi="ar"/>
              </w:rPr>
              <w:t xml:space="preserve"> </w:t>
            </w:r>
            <w:r>
              <w:rPr>
                <w:rFonts w:hint="eastAsia" w:ascii="黑体" w:hAnsi="黑体" w:eastAsia="黑体" w:cs="黑体"/>
                <w:kern w:val="0"/>
                <w:sz w:val="24"/>
                <w:lang w:bidi="ar"/>
              </w:rPr>
              <w:t>计</w:t>
            </w:r>
            <w:r>
              <w:rPr>
                <w:rFonts w:hint="eastAsia" w:ascii="黑体" w:hAnsi="黑体" w:eastAsia="黑体" w:cs="黑体"/>
                <w:kern w:val="0"/>
                <w:sz w:val="24"/>
                <w:lang w:val="en-US" w:eastAsia="zh-CN" w:bidi="ar"/>
              </w:rPr>
              <w:t xml:space="preserve">   </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4" w:hRule="atLeast"/>
          <w:jc w:val="center"/>
        </w:trPr>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9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5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r>
    </w:tbl>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74"/>
        <w:jc w:val="left"/>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color="auto" w:fill="FFFFFF"/>
        </w:rPr>
        <w:t>202</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4</w:t>
      </w:r>
      <w:r>
        <w:rPr>
          <w:rFonts w:hint="eastAsia" w:ascii="仿宋_GB2312" w:hAnsi="仿宋_GB2312" w:eastAsia="仿宋_GB2312" w:cs="仿宋_GB2312"/>
          <w:b w:val="0"/>
          <w:bCs w:val="0"/>
          <w:i w:val="0"/>
          <w:iCs w:val="0"/>
          <w:caps w:val="0"/>
          <w:color w:val="333333"/>
          <w:spacing w:val="0"/>
          <w:sz w:val="32"/>
          <w:szCs w:val="32"/>
          <w:shd w:val="clear" w:color="auto" w:fill="FFFFFF"/>
        </w:rPr>
        <w:t>年，</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额敏县应急管理局</w:t>
      </w:r>
      <w:r>
        <w:rPr>
          <w:rFonts w:hint="eastAsia" w:ascii="仿宋_GB2312" w:hAnsi="仿宋_GB2312" w:eastAsia="仿宋_GB2312" w:cs="仿宋_GB2312"/>
          <w:b w:val="0"/>
          <w:bCs w:val="0"/>
          <w:i w:val="0"/>
          <w:iCs w:val="0"/>
          <w:caps w:val="0"/>
          <w:color w:val="333333"/>
          <w:spacing w:val="0"/>
          <w:sz w:val="32"/>
          <w:szCs w:val="32"/>
          <w:shd w:val="clear" w:color="auto" w:fill="FFFFFF"/>
        </w:rPr>
        <w:t>政府信息公开工作在制度机制建设、提升规范化和信息化水平、增强公开实效等方面，取得了一定进展和成效，但与保障人民群众知情、参与和监督的实际需求相比，还存在较大差距，</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政府信息公开工作要点落实有待加强。</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额敏县应急管理局</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将不断改进工作方法，深化重点领域信息公开，提高信息公开质量，全面推动</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额敏县应急管理局</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政府信息公开工作上一个新台阶，更好地保障人民群众知情权、参与权和监督权。</w:t>
      </w:r>
    </w:p>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六、其他需要报告的事项</w:t>
      </w:r>
    </w:p>
    <w:p>
      <w:pPr>
        <w:spacing w:line="560" w:lineRule="exact"/>
        <w:ind w:firstLine="636" w:firstLineChars="199"/>
        <w:rPr>
          <w:rFonts w:hint="eastAsia" w:ascii="仿宋" w:hAnsi="仿宋" w:eastAsia="仿宋" w:cs="仿宋"/>
          <w:b w:val="0"/>
          <w:bCs w:val="0"/>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本机关按照《国务院办公厅关于印发&lt;政府信息公开信息处理费管理办法&gt;的通知》（国办函（2020）109号）规定的按件、按量收费标准，本年度没有产生信息公开处理费</w:t>
      </w:r>
      <w:r>
        <w:rPr>
          <w:rFonts w:hint="eastAsia" w:ascii="仿宋" w:hAnsi="仿宋" w:eastAsia="仿宋" w:cs="仿宋"/>
          <w:b w:val="0"/>
          <w:bCs w:val="0"/>
          <w:i w:val="0"/>
          <w:iCs w:val="0"/>
          <w:caps w:val="0"/>
          <w:color w:val="333333"/>
          <w:spacing w:val="0"/>
          <w:sz w:val="32"/>
          <w:szCs w:val="32"/>
          <w:shd w:val="clear" w:color="auto" w:fill="FFFFFF"/>
          <w:lang w:val="en-US" w:eastAsia="zh-CN"/>
        </w:rPr>
        <w:t>。</w:t>
      </w:r>
    </w:p>
    <w:p>
      <w:pPr>
        <w:spacing w:line="560" w:lineRule="exact"/>
        <w:ind w:firstLine="636" w:firstLineChars="199"/>
        <w:rPr>
          <w:rFonts w:hint="eastAsia" w:ascii="仿宋" w:hAnsi="仿宋" w:eastAsia="仿宋" w:cs="仿宋"/>
          <w:b w:val="0"/>
          <w:bCs w:val="0"/>
          <w:i w:val="0"/>
          <w:iCs w:val="0"/>
          <w:caps w:val="0"/>
          <w:color w:val="333333"/>
          <w:spacing w:val="0"/>
          <w:sz w:val="32"/>
          <w:szCs w:val="32"/>
          <w:shd w:val="clear" w:color="auto" w:fill="FFFFFF"/>
          <w:lang w:val="en-US" w:eastAsia="zh-CN"/>
        </w:rPr>
      </w:pPr>
    </w:p>
    <w:p>
      <w:pPr>
        <w:spacing w:line="560" w:lineRule="exact"/>
        <w:ind w:firstLine="636" w:firstLineChars="199"/>
        <w:rPr>
          <w:rFonts w:hint="eastAsia" w:ascii="仿宋" w:hAnsi="仿宋" w:eastAsia="仿宋" w:cs="仿宋"/>
          <w:b w:val="0"/>
          <w:bCs w:val="0"/>
          <w:i w:val="0"/>
          <w:iCs w:val="0"/>
          <w:caps w:val="0"/>
          <w:color w:val="333333"/>
          <w:spacing w:val="0"/>
          <w:sz w:val="32"/>
          <w:szCs w:val="32"/>
          <w:shd w:val="clear" w:color="auto" w:fill="FFFFFF"/>
          <w:lang w:val="en-US" w:eastAsia="zh-CN"/>
        </w:rPr>
      </w:pPr>
    </w:p>
    <w:p>
      <w:pPr>
        <w:spacing w:line="560" w:lineRule="exact"/>
        <w:ind w:firstLine="636" w:firstLineChars="199"/>
        <w:rPr>
          <w:rFonts w:hint="eastAsia" w:ascii="仿宋" w:hAnsi="仿宋" w:eastAsia="仿宋" w:cs="仿宋"/>
          <w:b w:val="0"/>
          <w:bCs w:val="0"/>
          <w:i w:val="0"/>
          <w:iCs w:val="0"/>
          <w:caps w:val="0"/>
          <w:color w:val="333333"/>
          <w:spacing w:val="0"/>
          <w:sz w:val="32"/>
          <w:szCs w:val="32"/>
          <w:shd w:val="clear" w:color="auto" w:fill="FFFFFF"/>
          <w:lang w:val="en-US" w:eastAsia="zh-CN"/>
        </w:rPr>
      </w:pPr>
      <w:r>
        <w:rPr>
          <w:rFonts w:hint="eastAsia" w:ascii="仿宋" w:hAnsi="仿宋" w:eastAsia="仿宋" w:cs="仿宋"/>
          <w:b w:val="0"/>
          <w:bCs w:val="0"/>
          <w:i w:val="0"/>
          <w:iCs w:val="0"/>
          <w:caps w:val="0"/>
          <w:color w:val="333333"/>
          <w:spacing w:val="0"/>
          <w:sz w:val="32"/>
          <w:szCs w:val="32"/>
          <w:shd w:val="clear" w:color="auto" w:fill="FFFFFF"/>
          <w:lang w:val="en-US" w:eastAsia="zh-CN"/>
        </w:rPr>
        <w:t xml:space="preserve">                              额敏县应急管理局</w:t>
      </w:r>
    </w:p>
    <w:p>
      <w:pPr>
        <w:spacing w:line="560" w:lineRule="exact"/>
        <w:ind w:firstLine="636" w:firstLineChars="199"/>
        <w:rPr>
          <w:rFonts w:hint="default" w:ascii="仿宋" w:hAnsi="仿宋" w:eastAsia="仿宋" w:cs="仿宋"/>
          <w:b w:val="0"/>
          <w:bCs w:val="0"/>
          <w:i w:val="0"/>
          <w:iCs w:val="0"/>
          <w:caps w:val="0"/>
          <w:color w:val="333333"/>
          <w:spacing w:val="0"/>
          <w:sz w:val="32"/>
          <w:szCs w:val="32"/>
          <w:shd w:val="clear" w:color="auto" w:fill="FFFFFF"/>
          <w:lang w:val="en-US" w:eastAsia="zh-CN"/>
        </w:rPr>
      </w:pPr>
      <w:r>
        <w:rPr>
          <w:rFonts w:hint="eastAsia" w:ascii="仿宋" w:hAnsi="仿宋" w:eastAsia="仿宋" w:cs="仿宋"/>
          <w:b w:val="0"/>
          <w:bCs w:val="0"/>
          <w:i w:val="0"/>
          <w:iCs w:val="0"/>
          <w:caps w:val="0"/>
          <w:color w:val="333333"/>
          <w:spacing w:val="0"/>
          <w:sz w:val="32"/>
          <w:szCs w:val="32"/>
          <w:shd w:val="clear" w:color="auto" w:fill="FFFFFF"/>
          <w:lang w:val="en-US" w:eastAsia="zh-CN"/>
        </w:rPr>
        <w:t xml:space="preserve">                               2025年2月7日</w:t>
      </w:r>
    </w:p>
    <w:sectPr>
      <w:footerReference r:id="rId3" w:type="default"/>
      <w:pgSz w:w="11906" w:h="16838"/>
      <w:pgMar w:top="1984" w:right="1531" w:bottom="1701" w:left="1531" w:header="851" w:footer="1417" w:gutter="0"/>
      <w:paperSrc/>
      <w:pgNumType w:fmt="decimal" w:start="4"/>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r6cMBAABwAwAADgAAAGRycy9lMm9Eb2MueG1srVPNjtMwEL4j7TtY&#10;vm+dLRK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Rn+vpwwEAAHADAAAOAAAAAAAAAAEAIAAAAB4BAABkcnMvZTJvRG9jLnhtbFBL&#10;BQYAAAAABgAGAFkBAABTBQAAAAA=&#10;">
              <v:fill on="f" focussize="0,0"/>
              <v:stroke on="f"/>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16BC5"/>
    <w:multiLevelType w:val="singleLevel"/>
    <w:tmpl w:val="47316BC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5AA9"/>
    <w:rsid w:val="0675610B"/>
    <w:rsid w:val="0DBE5485"/>
    <w:rsid w:val="0E532DD0"/>
    <w:rsid w:val="0FB1ED13"/>
    <w:rsid w:val="1574532F"/>
    <w:rsid w:val="15FB8EA7"/>
    <w:rsid w:val="17983045"/>
    <w:rsid w:val="17F90D9B"/>
    <w:rsid w:val="1BF9075A"/>
    <w:rsid w:val="1D577EA2"/>
    <w:rsid w:val="1DBDFBC9"/>
    <w:rsid w:val="1FDB8C67"/>
    <w:rsid w:val="2DBFBC40"/>
    <w:rsid w:val="2DFDE716"/>
    <w:rsid w:val="2E7B3A54"/>
    <w:rsid w:val="2F6222D1"/>
    <w:rsid w:val="2F6DEC47"/>
    <w:rsid w:val="2FDF01AE"/>
    <w:rsid w:val="2FF4864B"/>
    <w:rsid w:val="2FFB22A4"/>
    <w:rsid w:val="30D911DF"/>
    <w:rsid w:val="33476133"/>
    <w:rsid w:val="33D714C0"/>
    <w:rsid w:val="34BBC352"/>
    <w:rsid w:val="35FD630A"/>
    <w:rsid w:val="369EAFAC"/>
    <w:rsid w:val="37E6ECC8"/>
    <w:rsid w:val="37FFDA62"/>
    <w:rsid w:val="3A6E30A5"/>
    <w:rsid w:val="3AFF2EE8"/>
    <w:rsid w:val="3BDABEC6"/>
    <w:rsid w:val="3BF54923"/>
    <w:rsid w:val="3BFF17F9"/>
    <w:rsid w:val="3D7F7DD5"/>
    <w:rsid w:val="3DFE6730"/>
    <w:rsid w:val="3DFF1F5B"/>
    <w:rsid w:val="3EAB0813"/>
    <w:rsid w:val="3ECDB389"/>
    <w:rsid w:val="3F9713AE"/>
    <w:rsid w:val="3FBE452B"/>
    <w:rsid w:val="44F70FF2"/>
    <w:rsid w:val="45FF8569"/>
    <w:rsid w:val="495FD348"/>
    <w:rsid w:val="4AFE2542"/>
    <w:rsid w:val="4B476D29"/>
    <w:rsid w:val="4D1A2057"/>
    <w:rsid w:val="4DF5448C"/>
    <w:rsid w:val="4E5D3FAD"/>
    <w:rsid w:val="4ED3CC05"/>
    <w:rsid w:val="4EE7823E"/>
    <w:rsid w:val="4F7F0F6C"/>
    <w:rsid w:val="53DA7517"/>
    <w:rsid w:val="53FDAC02"/>
    <w:rsid w:val="53FFBDEB"/>
    <w:rsid w:val="54BF66A9"/>
    <w:rsid w:val="55FE89AF"/>
    <w:rsid w:val="56266CE2"/>
    <w:rsid w:val="564B4699"/>
    <w:rsid w:val="569BCBE4"/>
    <w:rsid w:val="56F75819"/>
    <w:rsid w:val="573D23C5"/>
    <w:rsid w:val="57ABD0BC"/>
    <w:rsid w:val="588F9D8D"/>
    <w:rsid w:val="5AFEA431"/>
    <w:rsid w:val="5B0F0C9E"/>
    <w:rsid w:val="5BDBA9BF"/>
    <w:rsid w:val="5CA772BC"/>
    <w:rsid w:val="5D3EFB57"/>
    <w:rsid w:val="5DB52F95"/>
    <w:rsid w:val="5DEA2796"/>
    <w:rsid w:val="5E77C89D"/>
    <w:rsid w:val="5EDFBC86"/>
    <w:rsid w:val="5EEE0E0E"/>
    <w:rsid w:val="5EFFF25A"/>
    <w:rsid w:val="5F5B3921"/>
    <w:rsid w:val="5FBD29CB"/>
    <w:rsid w:val="5FBF7A07"/>
    <w:rsid w:val="5FFFB2CA"/>
    <w:rsid w:val="60F96BFF"/>
    <w:rsid w:val="61991A56"/>
    <w:rsid w:val="63EB0F43"/>
    <w:rsid w:val="63F51A12"/>
    <w:rsid w:val="666F524E"/>
    <w:rsid w:val="67766E7C"/>
    <w:rsid w:val="67FC9BDC"/>
    <w:rsid w:val="685D612B"/>
    <w:rsid w:val="69C253C8"/>
    <w:rsid w:val="69FECB58"/>
    <w:rsid w:val="6A502537"/>
    <w:rsid w:val="6ADF26F4"/>
    <w:rsid w:val="6BF7ACEA"/>
    <w:rsid w:val="6BFA22E5"/>
    <w:rsid w:val="6BFE896C"/>
    <w:rsid w:val="6EE57227"/>
    <w:rsid w:val="6EEFE970"/>
    <w:rsid w:val="6EFE2D9F"/>
    <w:rsid w:val="6FDF5FD4"/>
    <w:rsid w:val="6FF96D33"/>
    <w:rsid w:val="73BF1F48"/>
    <w:rsid w:val="73FA93CF"/>
    <w:rsid w:val="73FB804A"/>
    <w:rsid w:val="74772C9E"/>
    <w:rsid w:val="75122E1F"/>
    <w:rsid w:val="75B7F74D"/>
    <w:rsid w:val="76B785F1"/>
    <w:rsid w:val="774E65D4"/>
    <w:rsid w:val="77D970E5"/>
    <w:rsid w:val="77DFF527"/>
    <w:rsid w:val="77FC4B6E"/>
    <w:rsid w:val="77FD1A6A"/>
    <w:rsid w:val="77FF625D"/>
    <w:rsid w:val="7A5F28C2"/>
    <w:rsid w:val="7A7C1E4F"/>
    <w:rsid w:val="7AFF576F"/>
    <w:rsid w:val="7AFFB878"/>
    <w:rsid w:val="7B7708EE"/>
    <w:rsid w:val="7BC6063A"/>
    <w:rsid w:val="7BCFBD38"/>
    <w:rsid w:val="7BF2FDC5"/>
    <w:rsid w:val="7BFC57ED"/>
    <w:rsid w:val="7BFF4374"/>
    <w:rsid w:val="7C96545E"/>
    <w:rsid w:val="7D4F3E3E"/>
    <w:rsid w:val="7D5FEFA5"/>
    <w:rsid w:val="7D6CD867"/>
    <w:rsid w:val="7D764056"/>
    <w:rsid w:val="7D7DBA64"/>
    <w:rsid w:val="7D9FC4D8"/>
    <w:rsid w:val="7DFED623"/>
    <w:rsid w:val="7DFF4180"/>
    <w:rsid w:val="7E7538F9"/>
    <w:rsid w:val="7EB8C56E"/>
    <w:rsid w:val="7EB928EB"/>
    <w:rsid w:val="7EBFF697"/>
    <w:rsid w:val="7EFC0E7B"/>
    <w:rsid w:val="7EFC9B8D"/>
    <w:rsid w:val="7EFE4EAD"/>
    <w:rsid w:val="7EFF7404"/>
    <w:rsid w:val="7EFFC735"/>
    <w:rsid w:val="7F50710A"/>
    <w:rsid w:val="7F6F1D4B"/>
    <w:rsid w:val="7F748D63"/>
    <w:rsid w:val="7F77B9DA"/>
    <w:rsid w:val="7F9F6549"/>
    <w:rsid w:val="7FA24751"/>
    <w:rsid w:val="7FAF5D99"/>
    <w:rsid w:val="7FB47235"/>
    <w:rsid w:val="7FBEEAAC"/>
    <w:rsid w:val="7FBFA13F"/>
    <w:rsid w:val="7FCBBEBA"/>
    <w:rsid w:val="7FE7141B"/>
    <w:rsid w:val="7FEEAFD2"/>
    <w:rsid w:val="7FEF8F94"/>
    <w:rsid w:val="7FEFDD07"/>
    <w:rsid w:val="7FF07130"/>
    <w:rsid w:val="7FF99BD5"/>
    <w:rsid w:val="7FF9F85E"/>
    <w:rsid w:val="7FFB59C1"/>
    <w:rsid w:val="7FFE0B86"/>
    <w:rsid w:val="7FFF7799"/>
    <w:rsid w:val="7FFF8484"/>
    <w:rsid w:val="7FFFEEE5"/>
    <w:rsid w:val="8BFEFC87"/>
    <w:rsid w:val="90FBB6AE"/>
    <w:rsid w:val="92DDA34E"/>
    <w:rsid w:val="93FCA4F3"/>
    <w:rsid w:val="96FD0614"/>
    <w:rsid w:val="9BFF7797"/>
    <w:rsid w:val="9E4E6617"/>
    <w:rsid w:val="9EC78753"/>
    <w:rsid w:val="9FAAAD1E"/>
    <w:rsid w:val="9FAD36FF"/>
    <w:rsid w:val="9FBFF697"/>
    <w:rsid w:val="9FFA9AFD"/>
    <w:rsid w:val="9FFB8AD4"/>
    <w:rsid w:val="A7F51AF6"/>
    <w:rsid w:val="A7FEB3B1"/>
    <w:rsid w:val="AAFF459F"/>
    <w:rsid w:val="ABEE8AF0"/>
    <w:rsid w:val="ADDE413E"/>
    <w:rsid w:val="ADFF1E01"/>
    <w:rsid w:val="B8DCC92C"/>
    <w:rsid w:val="BAB13A0D"/>
    <w:rsid w:val="BBD77E1F"/>
    <w:rsid w:val="BBEFE269"/>
    <w:rsid w:val="BBFBA881"/>
    <w:rsid w:val="BCF75867"/>
    <w:rsid w:val="BCFF9D6E"/>
    <w:rsid w:val="BD1BC2C7"/>
    <w:rsid w:val="BD7690B0"/>
    <w:rsid w:val="BDBFA14F"/>
    <w:rsid w:val="BDEEC5E1"/>
    <w:rsid w:val="BEF34AD8"/>
    <w:rsid w:val="BEF3D2E6"/>
    <w:rsid w:val="BEFFB7D0"/>
    <w:rsid w:val="BF22C904"/>
    <w:rsid w:val="BF3BD795"/>
    <w:rsid w:val="BFDF0F8C"/>
    <w:rsid w:val="BFEF4541"/>
    <w:rsid w:val="BFF7D9D8"/>
    <w:rsid w:val="BFFA78D4"/>
    <w:rsid w:val="BFFC642A"/>
    <w:rsid w:val="C67B7F41"/>
    <w:rsid w:val="C6FF2F6B"/>
    <w:rsid w:val="CB340FF9"/>
    <w:rsid w:val="CBFFFECB"/>
    <w:rsid w:val="CF5F3C76"/>
    <w:rsid w:val="CFC37AE3"/>
    <w:rsid w:val="CFCF4378"/>
    <w:rsid w:val="CFEF33B0"/>
    <w:rsid w:val="CFF65123"/>
    <w:rsid w:val="CFF8DECE"/>
    <w:rsid w:val="D73AD7DC"/>
    <w:rsid w:val="DAF7B794"/>
    <w:rsid w:val="DCFFC7DA"/>
    <w:rsid w:val="DD27EE3C"/>
    <w:rsid w:val="DDBA4366"/>
    <w:rsid w:val="DDFBF5DC"/>
    <w:rsid w:val="DE11FC53"/>
    <w:rsid w:val="DE6F9D4D"/>
    <w:rsid w:val="DE7D17E3"/>
    <w:rsid w:val="DE7FE1BC"/>
    <w:rsid w:val="DEBF8F76"/>
    <w:rsid w:val="DF7ED54A"/>
    <w:rsid w:val="DF97DC17"/>
    <w:rsid w:val="DFBDD0B0"/>
    <w:rsid w:val="DFC35436"/>
    <w:rsid w:val="DFCBD6AE"/>
    <w:rsid w:val="DFD7763D"/>
    <w:rsid w:val="DFD96B7E"/>
    <w:rsid w:val="DFEDC74E"/>
    <w:rsid w:val="DFF55861"/>
    <w:rsid w:val="DFF69220"/>
    <w:rsid w:val="DFF6FC90"/>
    <w:rsid w:val="DFFE273C"/>
    <w:rsid w:val="DFFF4100"/>
    <w:rsid w:val="E3379851"/>
    <w:rsid w:val="E3BDB839"/>
    <w:rsid w:val="E4FFDC32"/>
    <w:rsid w:val="E53B485A"/>
    <w:rsid w:val="E5B7C707"/>
    <w:rsid w:val="E657A35C"/>
    <w:rsid w:val="E65DCF39"/>
    <w:rsid w:val="E7B66ED8"/>
    <w:rsid w:val="E7FBEB55"/>
    <w:rsid w:val="E9FEA61A"/>
    <w:rsid w:val="EB76D68E"/>
    <w:rsid w:val="EBB9FF58"/>
    <w:rsid w:val="EBF6182D"/>
    <w:rsid w:val="EBFFD9A2"/>
    <w:rsid w:val="EC6DDFA3"/>
    <w:rsid w:val="ECF73D77"/>
    <w:rsid w:val="EDFE06ED"/>
    <w:rsid w:val="EDFE3535"/>
    <w:rsid w:val="EDFFB8CE"/>
    <w:rsid w:val="EE7BDC30"/>
    <w:rsid w:val="EEE94709"/>
    <w:rsid w:val="EF5BEFA1"/>
    <w:rsid w:val="EFF11AC6"/>
    <w:rsid w:val="F0D74422"/>
    <w:rsid w:val="F1FF93C6"/>
    <w:rsid w:val="F2F7A314"/>
    <w:rsid w:val="F33F86FA"/>
    <w:rsid w:val="F3EF72B4"/>
    <w:rsid w:val="F3F7F6FB"/>
    <w:rsid w:val="F551BBA4"/>
    <w:rsid w:val="F55F552F"/>
    <w:rsid w:val="F56FE98B"/>
    <w:rsid w:val="F5F7AECF"/>
    <w:rsid w:val="F5FB699F"/>
    <w:rsid w:val="F67B4ABB"/>
    <w:rsid w:val="F6FD0327"/>
    <w:rsid w:val="F73FD98A"/>
    <w:rsid w:val="F785B677"/>
    <w:rsid w:val="F79BFADD"/>
    <w:rsid w:val="F7ADB44B"/>
    <w:rsid w:val="F7BB17D9"/>
    <w:rsid w:val="F7E773A7"/>
    <w:rsid w:val="F7F3D891"/>
    <w:rsid w:val="F7FD181E"/>
    <w:rsid w:val="F7FF56AE"/>
    <w:rsid w:val="F7FFBA43"/>
    <w:rsid w:val="F8E0F921"/>
    <w:rsid w:val="F8F0B3C6"/>
    <w:rsid w:val="F92C20D0"/>
    <w:rsid w:val="F9739605"/>
    <w:rsid w:val="F9BD7614"/>
    <w:rsid w:val="F9EBAEDB"/>
    <w:rsid w:val="FABF459C"/>
    <w:rsid w:val="FB317F09"/>
    <w:rsid w:val="FB753F9B"/>
    <w:rsid w:val="FBE7BA79"/>
    <w:rsid w:val="FBFB0BCD"/>
    <w:rsid w:val="FBFBF127"/>
    <w:rsid w:val="FBFE39B7"/>
    <w:rsid w:val="FCF183EF"/>
    <w:rsid w:val="FCF7EE51"/>
    <w:rsid w:val="FD7E4A48"/>
    <w:rsid w:val="FD9AA252"/>
    <w:rsid w:val="FDDD7FF3"/>
    <w:rsid w:val="FDDE23EF"/>
    <w:rsid w:val="FDE67FF7"/>
    <w:rsid w:val="FDF7108F"/>
    <w:rsid w:val="FDF74333"/>
    <w:rsid w:val="FDFD28B8"/>
    <w:rsid w:val="FEDF64A3"/>
    <w:rsid w:val="FEEFA244"/>
    <w:rsid w:val="FF07AA46"/>
    <w:rsid w:val="FF1FB1C8"/>
    <w:rsid w:val="FF2EF43B"/>
    <w:rsid w:val="FF3DCC43"/>
    <w:rsid w:val="FF6D16D2"/>
    <w:rsid w:val="FF720985"/>
    <w:rsid w:val="FF7A362E"/>
    <w:rsid w:val="FFAB512A"/>
    <w:rsid w:val="FFAD8402"/>
    <w:rsid w:val="FFAEAFBB"/>
    <w:rsid w:val="FFAF1D94"/>
    <w:rsid w:val="FFB5A8F6"/>
    <w:rsid w:val="FFB6D1BE"/>
    <w:rsid w:val="FFBDBCE1"/>
    <w:rsid w:val="FFCFD87C"/>
    <w:rsid w:val="FFD53D7A"/>
    <w:rsid w:val="FFD5CBD3"/>
    <w:rsid w:val="FFDCB75F"/>
    <w:rsid w:val="FFDFEDDF"/>
    <w:rsid w:val="FFEBA0D9"/>
    <w:rsid w:val="FFEFDF93"/>
    <w:rsid w:val="FFF68358"/>
    <w:rsid w:val="FFFC32AE"/>
    <w:rsid w:val="FFFF5553"/>
    <w:rsid w:val="FFFFB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2025-02-07T08:20:07Z</cp:lastPrinted>
  <dcterms:modified xsi:type="dcterms:W3CDTF">2025-02-18T11:43:26Z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B35D36AC452346108FD0998C149FAB5D</vt:lpwstr>
  </property>
</Properties>
</file>