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额敏县市场监督管理局2024年度政府信息公开工作年度报告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本报告根据《中华人民共和国政府信息公开条例》（国务院令第711号）、《关于印发&lt;中华人民共和国政府信息公开工作年度报告格式&gt;的通知》（国办公开办函〔2021〕30号）、地区《关于做好2024年政府信息公开工作年度报告编制发布工作的通知》要求编制。报告全文包括总体情况、主动公开政府信息情况、收到和处理政府信息公开申请情况、因政府信息公开工作被申请行政复议和提起行政诉讼情况、政府信息公开存在的主要问题及改进情况，以及其他需要报告的事项六个部分。报告中所列数据的统计期限自2024年1月1日起至12月31日止。如对本报告有疑问，请与额敏县市场监督管理局办公室联系（地址：额敏县前进南路005号；邮编834600；电话及传真：0901-3344038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按照《中华人民共和国政府信息公开条例》，额敏县市场监督管理局认真贯彻落实关于政府信息公开有关文件精神，把职能范围内的政务信息及时向社会公布，方便群众办事，接受社会监督。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（一）主动公开情况。</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额敏县市场监督管理局</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以公开为原则，以不公开为例外，主动公开政府信息。2024年，额敏县市场监督管理局及时为群众提供了行政审批、市场监管全面事项等动态信息，对行政许可、处罚、食品抽检情况等及时予以公开。全年共公示30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（二）依申请公开情况。</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2024年度额敏县市场监督管理局没有发生依申请公开政府信息和不予公开政府信息的情况。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（三）政府信息管理情况。</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加强信息管理，对上网发布公开的信息，先通过“三审三校”审核制度，检查语言文字表述、图片规范、是否涉密等，然后报送相关部门，依次进行审核，杜绝涉及敏感内容的信息。加强信息时效性管理，信息类别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（四）平台建设情况。</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及时利用系统的管理平台，逐步建立完善互联网+监管平台建设。加强行政监督主动公开，定期公布食品抽检情况，主动公开食品药品违法行为处罚信息。积极配合做好政府网站建设相关工作，提升网上履职能力和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（五）监督保障情况。</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额敏县市场监督管理局政府信息公开工作以各股室（所、队）负责人具体负责和行政信息公开专人负责相结合，局办公室积极配合的本局政府信息公开工作模式。2024年全年，额敏县市场监督管理局未出现任何因政府信息公开问题而引发的责任追究情况，切实保障了政务公开工作的规范、有序开展。</w:t>
      </w:r>
    </w:p>
    <w:p>
      <w:pPr>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3"/>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058"/>
        <w:gridCol w:w="168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2058" w:type="dxa"/>
            <w:noWrap/>
            <w:vAlign w:val="top"/>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kern w:val="0"/>
                <w:sz w:val="24"/>
                <w:lang w:bidi="ar"/>
              </w:rPr>
              <w:t>制</w:t>
            </w:r>
            <w:r>
              <w:rPr>
                <w:rFonts w:hint="eastAsia"/>
                <w:kern w:val="0"/>
                <w:sz w:val="24"/>
                <w:lang w:eastAsia="zh-CN" w:bidi="ar"/>
              </w:rPr>
              <w:t>发件数</w:t>
            </w:r>
          </w:p>
        </w:tc>
        <w:tc>
          <w:tcPr>
            <w:tcW w:w="1686" w:type="dxa"/>
            <w:noWrap w:val="0"/>
            <w:vAlign w:val="top"/>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rFonts w:hint="eastAsia" w:ascii="宋体" w:hAnsi="宋体" w:cs="宋体"/>
                <w:kern w:val="0"/>
                <w:sz w:val="24"/>
                <w:lang w:eastAsia="zh-CN" w:bidi="ar"/>
              </w:rPr>
              <w:t>废止件数</w:t>
            </w:r>
          </w:p>
        </w:tc>
        <w:tc>
          <w:tcPr>
            <w:tcW w:w="1881" w:type="dxa"/>
            <w:noWrap/>
            <w:vAlign w:val="top"/>
          </w:tcPr>
          <w:p>
            <w:pPr>
              <w:widowControl/>
              <w:spacing w:after="144" w:line="300" w:lineRule="exact"/>
              <w:jc w:val="center"/>
              <w:rPr>
                <w:rFonts w:hint="eastAsia" w:eastAsia="宋体"/>
                <w:sz w:val="24"/>
                <w:lang w:eastAsia="zh-CN"/>
              </w:rPr>
            </w:pPr>
            <w:r>
              <w:rPr>
                <w:rFonts w:hint="eastAsia"/>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规章</w:t>
            </w:r>
          </w:p>
        </w:tc>
        <w:tc>
          <w:tcPr>
            <w:tcW w:w="2058"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686" w:type="dxa"/>
            <w:noWrap w:val="0"/>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881"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规范性文件</w:t>
            </w:r>
          </w:p>
        </w:tc>
        <w:tc>
          <w:tcPr>
            <w:tcW w:w="2058"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686" w:type="dxa"/>
            <w:noWrap w:val="0"/>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881"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rFonts w:hint="eastAsia" w:eastAsia="宋体"/>
                <w:sz w:val="24"/>
                <w:lang w:eastAsia="zh-CN"/>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行政许可</w:t>
            </w:r>
          </w:p>
        </w:tc>
        <w:tc>
          <w:tcPr>
            <w:tcW w:w="5625" w:type="dxa"/>
            <w:gridSpan w:val="3"/>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sz w:val="24"/>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行政处罚</w:t>
            </w:r>
          </w:p>
        </w:tc>
        <w:tc>
          <w:tcPr>
            <w:tcW w:w="5625" w:type="dxa"/>
            <w:gridSpan w:val="3"/>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行政强制</w:t>
            </w:r>
          </w:p>
        </w:tc>
        <w:tc>
          <w:tcPr>
            <w:tcW w:w="5625" w:type="dxa"/>
            <w:gridSpan w:val="3"/>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sz w:val="24"/>
              </w:rPr>
            </w:pPr>
            <w:r>
              <w:rPr>
                <w:rFonts w:hint="eastAsia"/>
                <w:sz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行政事业性收费</w:t>
            </w:r>
          </w:p>
        </w:tc>
        <w:tc>
          <w:tcPr>
            <w:tcW w:w="5625" w:type="dxa"/>
            <w:gridSpan w:val="3"/>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r>
    </w:tbl>
    <w:p>
      <w:pPr>
        <w:pStyle w:val="2"/>
        <w:widowControl/>
        <w:spacing w:before="0" w:beforeAutospacing="0" w:after="0" w:afterAutospacing="0" w:line="560" w:lineRule="exact"/>
        <w:ind w:firstLine="640" w:firstLineChars="200"/>
        <w:jc w:val="both"/>
        <w:rPr>
          <w:rFonts w:hint="eastAsia" w:ascii="黑体" w:hAnsi="黑体" w:eastAsia="黑体" w:cs="宋体"/>
          <w:sz w:val="32"/>
          <w:szCs w:val="30"/>
        </w:rPr>
      </w:pPr>
      <w:r>
        <w:rPr>
          <w:rFonts w:hint="eastAsia" w:ascii="黑体" w:hAnsi="黑体" w:eastAsia="黑体" w:cs="宋体"/>
          <w:sz w:val="32"/>
          <w:szCs w:val="30"/>
        </w:rPr>
        <w:t>三、收到和处理政府信息公开申请情况</w:t>
      </w:r>
    </w:p>
    <w:tbl>
      <w:tblPr>
        <w:tblStyle w:val="3"/>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936"/>
        <w:gridCol w:w="2756"/>
        <w:gridCol w:w="456"/>
        <w:gridCol w:w="652"/>
        <w:gridCol w:w="656"/>
        <w:gridCol w:w="655"/>
        <w:gridCol w:w="656"/>
        <w:gridCol w:w="464"/>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43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（本列数据的勾稽关系为：第一项加第二项之和，等于第三项加第四项之和）</w:t>
            </w:r>
          </w:p>
        </w:tc>
        <w:tc>
          <w:tcPr>
            <w:tcW w:w="3995"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自然人</w:t>
            </w:r>
          </w:p>
        </w:tc>
        <w:tc>
          <w:tcPr>
            <w:tcW w:w="3083"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法人或其他组织</w:t>
            </w: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商业企业</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科研机构</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社会公益组织</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法律服务机构</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其他</w:t>
            </w: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一、本年新收政府信息公开申请数量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二、上年结转政府信息公开申请数量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三、本年度办理结果</w:t>
            </w: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（一）予以公开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（二）部分公开（区分处理的，只计这一情形，不计其他情形）</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（三）不予公开</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1.属于国家秘密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2.其他法律行政法规禁止公开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3.危及“三安全一稳定”</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4.保护第三方合法权益</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5.属于三类内部事务信息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6.属于四类过程性信息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7.属于行政执法案卷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8.属于行政查询事项</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（四）无法提供</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1.本机关不掌握相关政府信息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2.没有现成信息需要另行制作</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3.补正后申请内容仍不明确</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（五）不予处理</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1.信访举报投诉类申请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3.要求提供公开出版物</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4.无正当理由大量反复申请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5.要求行政机关确认或重新出具已获取信息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（六）其他处理</w:t>
            </w:r>
          </w:p>
        </w:tc>
        <w:tc>
          <w:tcPr>
            <w:tcW w:w="2756"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1.申请人无正当理由逾期不补正、行政机关不再处理其政府信息公开申请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2.申请人逾期未按收费通知要求缴纳费用、行政机关不再处理其政府信息公开申请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3.其他</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3692" w:type="dxa"/>
            <w:gridSpan w:val="2"/>
            <w:tcBorders>
              <w:top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（七）总计</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四、结转下年度继续办理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bl>
    <w:p>
      <w:pPr>
        <w:spacing w:line="560" w:lineRule="exact"/>
        <w:ind w:firstLine="636" w:firstLineChars="199"/>
        <w:rPr>
          <w:rFonts w:hint="eastAsia" w:ascii="黑体" w:hAnsi="黑体" w:eastAsia="黑体" w:cs="宋体"/>
          <w:sz w:val="32"/>
          <w:szCs w:val="32"/>
        </w:rPr>
      </w:pP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3"/>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495"/>
        <w:gridCol w:w="510"/>
        <w:gridCol w:w="495"/>
        <w:gridCol w:w="555"/>
        <w:gridCol w:w="570"/>
        <w:gridCol w:w="525"/>
        <w:gridCol w:w="645"/>
        <w:gridCol w:w="555"/>
        <w:gridCol w:w="675"/>
        <w:gridCol w:w="645"/>
        <w:gridCol w:w="600"/>
        <w:gridCol w:w="600"/>
        <w:gridCol w:w="60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55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行政复议</w:t>
            </w:r>
          </w:p>
        </w:tc>
        <w:tc>
          <w:tcPr>
            <w:tcW w:w="5947"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50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510"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其他结果</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55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计</w:t>
            </w:r>
          </w:p>
        </w:tc>
        <w:tc>
          <w:tcPr>
            <w:tcW w:w="297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未经复议直接起诉</w:t>
            </w:r>
          </w:p>
        </w:tc>
        <w:tc>
          <w:tcPr>
            <w:tcW w:w="297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10"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5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其他结果</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eastAsia="宋体" w:cs="宋体"/>
                <w:kern w:val="0"/>
                <w:sz w:val="24"/>
                <w:lang w:val="en-US" w:eastAsia="zh-CN" w:bidi="ar"/>
              </w:rPr>
            </w:pPr>
            <w:r>
              <w:rPr>
                <w:rFonts w:hint="eastAsia" w:ascii="宋体" w:hAnsi="宋体" w:cs="宋体"/>
                <w:kern w:val="0"/>
                <w:sz w:val="24"/>
                <w:lang w:bidi="ar"/>
              </w:rPr>
              <w:t>总</w:t>
            </w:r>
            <w:r>
              <w:rPr>
                <w:rFonts w:hint="eastAsia" w:ascii="宋体" w:hAnsi="宋体" w:cs="宋体"/>
                <w:kern w:val="0"/>
                <w:sz w:val="24"/>
                <w:lang w:val="en-US" w:eastAsia="zh-CN" w:bidi="ar"/>
              </w:rPr>
              <w:t xml:space="preserve"> </w:t>
            </w:r>
            <w:r>
              <w:rPr>
                <w:rFonts w:hint="eastAsia" w:ascii="宋体" w:hAnsi="宋体" w:cs="宋体"/>
                <w:kern w:val="0"/>
                <w:sz w:val="24"/>
                <w:lang w:bidi="ar"/>
              </w:rPr>
              <w:t>计</w:t>
            </w:r>
            <w:r>
              <w:rPr>
                <w:rFonts w:hint="eastAsia" w:ascii="宋体" w:hAnsi="宋体" w:cs="宋体"/>
                <w:kern w:val="0"/>
                <w:sz w:val="24"/>
                <w:lang w:val="en-US" w:eastAsia="zh-CN" w:bidi="ar"/>
              </w:rPr>
              <w:t xml:space="preserve">   </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其他结果</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50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1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74"/>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ascii="仿宋" w:hAnsi="仿宋" w:eastAsia="仿宋" w:cs="仿宋"/>
          <w:b w:val="0"/>
          <w:bCs w:val="0"/>
          <w:i w:val="0"/>
          <w:iCs w:val="0"/>
          <w:caps w:val="0"/>
          <w:color w:val="333333"/>
          <w:spacing w:val="0"/>
          <w:sz w:val="32"/>
          <w:szCs w:val="32"/>
          <w:shd w:val="clear" w:fill="FFFFFF"/>
        </w:rPr>
        <w:t>202</w:t>
      </w:r>
      <w:r>
        <w:rPr>
          <w:rFonts w:hint="eastAsia" w:ascii="仿宋" w:hAnsi="仿宋" w:eastAsia="仿宋" w:cs="仿宋"/>
          <w:b w:val="0"/>
          <w:bCs w:val="0"/>
          <w:i w:val="0"/>
          <w:iCs w:val="0"/>
          <w:caps w:val="0"/>
          <w:color w:val="333333"/>
          <w:spacing w:val="0"/>
          <w:sz w:val="32"/>
          <w:szCs w:val="32"/>
          <w:shd w:val="clear" w:fill="FFFFFF"/>
          <w:lang w:val="en-US" w:eastAsia="zh-CN"/>
        </w:rPr>
        <w:t>4</w:t>
      </w:r>
      <w:r>
        <w:rPr>
          <w:rFonts w:hint="eastAsia" w:ascii="仿宋" w:hAnsi="仿宋" w:eastAsia="仿宋" w:cs="仿宋"/>
          <w:b w:val="0"/>
          <w:bCs w:val="0"/>
          <w:i w:val="0"/>
          <w:iCs w:val="0"/>
          <w:caps w:val="0"/>
          <w:color w:val="333333"/>
          <w:spacing w:val="0"/>
          <w:sz w:val="32"/>
          <w:szCs w:val="32"/>
          <w:shd w:val="clear" w:fill="FFFFFF"/>
        </w:rPr>
        <w:t>年，</w:t>
      </w:r>
      <w:r>
        <w:rPr>
          <w:rFonts w:hint="eastAsia" w:ascii="仿宋" w:hAnsi="仿宋" w:eastAsia="仿宋" w:cs="仿宋"/>
          <w:b w:val="0"/>
          <w:bCs w:val="0"/>
          <w:i w:val="0"/>
          <w:iCs w:val="0"/>
          <w:caps w:val="0"/>
          <w:color w:val="333333"/>
          <w:spacing w:val="0"/>
          <w:sz w:val="32"/>
          <w:szCs w:val="32"/>
          <w:shd w:val="clear" w:fill="FFFFFF"/>
          <w:lang w:val="en-US" w:eastAsia="zh-CN"/>
        </w:rPr>
        <w:t>在回顾总结上一年政府信息公开中存在的问题的基础上，</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额敏县市场监督管理局</w:t>
      </w:r>
      <w:r>
        <w:rPr>
          <w:rFonts w:hint="eastAsia" w:ascii="仿宋" w:hAnsi="仿宋" w:eastAsia="仿宋" w:cs="仿宋"/>
          <w:b w:val="0"/>
          <w:bCs w:val="0"/>
          <w:i w:val="0"/>
          <w:iCs w:val="0"/>
          <w:caps w:val="0"/>
          <w:color w:val="333333"/>
          <w:spacing w:val="0"/>
          <w:sz w:val="32"/>
          <w:szCs w:val="32"/>
          <w:shd w:val="clear" w:fill="FFFFFF"/>
          <w:lang w:val="en-US" w:eastAsia="zh-CN"/>
        </w:rPr>
        <w:t>将不断改进工作方法，坚持问题导向，深化重点领域信息公开，提高信息公开质量，全面推动</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额敏县市场监督管理局</w:t>
      </w:r>
      <w:r>
        <w:rPr>
          <w:rFonts w:hint="eastAsia" w:ascii="仿宋" w:hAnsi="仿宋" w:eastAsia="仿宋" w:cs="仿宋"/>
          <w:b w:val="0"/>
          <w:bCs w:val="0"/>
          <w:i w:val="0"/>
          <w:iCs w:val="0"/>
          <w:caps w:val="0"/>
          <w:color w:val="333333"/>
          <w:spacing w:val="0"/>
          <w:sz w:val="32"/>
          <w:szCs w:val="32"/>
          <w:shd w:val="clear" w:fill="FFFFFF"/>
          <w:lang w:val="en-US" w:eastAsia="zh-CN"/>
        </w:rPr>
        <w:t>政府信息公开工作上一个新台阶，更好地保障人民群众知情权、参与权和监督权。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六、其他需要报告的事项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本机关按照《国务院办公厅关于印发&lt;政府信息公开信息处理费管理办法&gt;的通知》（国办函</w:t>
      </w:r>
      <w:r>
        <w:rPr>
          <w:rFonts w:hint="eastAsia" w:ascii="仿宋_GB2312" w:eastAsia="仿宋_GB2312"/>
          <w:sz w:val="32"/>
          <w:szCs w:val="32"/>
        </w:rPr>
        <w:t>〔20</w:t>
      </w:r>
      <w:r>
        <w:rPr>
          <w:rFonts w:hint="eastAsia" w:ascii="仿宋_GB2312" w:eastAsia="仿宋_GB2312"/>
          <w:sz w:val="32"/>
          <w:szCs w:val="32"/>
          <w:lang w:val="en-US" w:eastAsia="zh-CN"/>
        </w:rPr>
        <w:t>2</w:t>
      </w:r>
      <w:r>
        <w:rPr>
          <w:rFonts w:hint="default" w:ascii="仿宋_GB2312" w:eastAsia="仿宋_GB2312"/>
          <w:sz w:val="32"/>
          <w:szCs w:val="32"/>
          <w:lang w:eastAsia="zh-CN"/>
        </w:rPr>
        <w:t>5</w:t>
      </w:r>
      <w:r>
        <w:rPr>
          <w:rFonts w:hint="eastAsia" w:ascii="仿宋_GB2312" w:eastAsia="仿宋_GB2312"/>
          <w:sz w:val="32"/>
          <w:szCs w:val="32"/>
        </w:rPr>
        <w:t>〕</w:t>
      </w:r>
      <w:r>
        <w:rPr>
          <w:rFonts w:hint="eastAsia" w:ascii="仿宋" w:hAnsi="仿宋" w:eastAsia="仿宋" w:cs="仿宋"/>
          <w:b w:val="0"/>
          <w:bCs w:val="0"/>
          <w:i w:val="0"/>
          <w:iCs w:val="0"/>
          <w:caps w:val="0"/>
          <w:color w:val="333333"/>
          <w:spacing w:val="0"/>
          <w:sz w:val="32"/>
          <w:szCs w:val="32"/>
          <w:shd w:val="clear" w:fill="FFFFFF"/>
          <w:lang w:val="en-US" w:eastAsia="zh-CN"/>
        </w:rPr>
        <w:t>109号）规定的按件、按量收费标准，本年度没有产生信息公开处理费。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额敏县市场监督管理局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 xml:space="preserve">2025年2月18日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WQ3OTBjNGViNmExZDMzOGVjYTFmNjdlMDRhYWIifQ=="/>
  </w:docVars>
  <w:rsids>
    <w:rsidRoot w:val="00000000"/>
    <w:rsid w:val="038109C3"/>
    <w:rsid w:val="056F47F6"/>
    <w:rsid w:val="0631025F"/>
    <w:rsid w:val="07A513DD"/>
    <w:rsid w:val="09651895"/>
    <w:rsid w:val="099B257A"/>
    <w:rsid w:val="25CB6AA6"/>
    <w:rsid w:val="2F1C3522"/>
    <w:rsid w:val="30B70872"/>
    <w:rsid w:val="3A017001"/>
    <w:rsid w:val="3C445656"/>
    <w:rsid w:val="414C76E8"/>
    <w:rsid w:val="428A1DF4"/>
    <w:rsid w:val="485521FA"/>
    <w:rsid w:val="488B67E8"/>
    <w:rsid w:val="4AF732C7"/>
    <w:rsid w:val="52A84CE9"/>
    <w:rsid w:val="5392572E"/>
    <w:rsid w:val="59641873"/>
    <w:rsid w:val="5AD50138"/>
    <w:rsid w:val="60401D7E"/>
    <w:rsid w:val="62474C05"/>
    <w:rsid w:val="63BC5894"/>
    <w:rsid w:val="69B1021E"/>
    <w:rsid w:val="6ADB4383"/>
    <w:rsid w:val="6E253592"/>
    <w:rsid w:val="739464E4"/>
    <w:rsid w:val="7411258E"/>
    <w:rsid w:val="760641FE"/>
    <w:rsid w:val="760D720E"/>
    <w:rsid w:val="77B77146"/>
    <w:rsid w:val="79C05B6D"/>
    <w:rsid w:val="7E992DA2"/>
    <w:rsid w:val="7F6D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2024-01-23T09:45:00Z</dcterms:created>
  <dc:creator>Administrator</dc:creator>
  <cp:lastModifiedBy>Administrator</cp:lastModifiedBy>
  <cp:lastPrinted>2025-02-11T10:07:00Z</cp:lastPrinted>
  <dcterms:modified xsi:type="dcterms:W3CDTF">2025-02-18T10:26:12Z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1034081019324629BA1F25FDD2706337_12</vt:lpwstr>
  </property>
</Properties>
</file>