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额敏县喀拉也木勒镇2024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度报告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本年度报告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根据《中华人民共和国政府信息公开条例》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（国务院令第711号）、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关于印发&lt;中华人民共和国政府信息公开工作年度报告格式&gt;的通知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、地区《关于做好2024年政府信息公开工作年度报告编制发布工作的通知》要求编制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报告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全文包括总体情况、主动公开政府信息情况、收到和处理政府信息公开申请情况、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因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政府信息公开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工作被申请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行政复议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和提起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行政诉讼情况、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政府信息公开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存在的主要问题及改进情况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，以及其他需要报告的事项六个部分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。报告统计期限自2024年1月1日起至12月31日止。如对本报告有任何疑问，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请与额敏县喀拉也木勒镇党政办公室联系（地址额敏县喀拉也木勒镇人民政府；邮编：834606；电话及传真：0901-6182030）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委、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县政府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关于全面推进政务公开工作部署，积极贯彻落实《中华人民共和国政府信息公开条》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相关要求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，认真做好政府信息公开各项工作，不断提高政府信息公开工作质量和服务水平，有效推动政府信息公开工作落到实处。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</w:t>
      </w: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方面</w:t>
      </w: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党委、政府高度重视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信息公开工作，详细安排部署了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信息公开工作,实行专人负责制，具体负责全乡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信息公开工作推进、协调、指导、监督工作，同时明确各部门主要负责人要协同配合完成好该项工作的开展，确保政府信息公开工作顺利推进。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（二）依申请公开方面</w:t>
      </w: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遵循公正、公平、便民的原则，规范发布信息公开指南，明确公开申请渠道，保障受理渠道畅通。不断提高政府信息公开申请办理质量，增强业务工作办理能力，准确把握政府信息的适用范畴，严格做到答复流程、答复格式符合规范，准确引用法律条文，确保向申请人提供的政府信息正式、准确、完整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喀拉也木勒镇未受理依申请公开政府信息。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（三）政府信息管理方面</w:t>
      </w: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度重视政府信息公开工作，不断健全工作机制，根据各办职能划分，明确、细化政府信息公开的范围、主体、方式等内容，进一步规范信息公开工作。由党政综合办公室负责政府信息公开工作的组织和协调，其他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办公室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做好职能范围内政府信息公开工作，做到及时依法公开。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（四）平台建设方面</w:t>
      </w: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镇将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信息公开工作作为单位工作的基本制度，加强信息发布管理，制定详细的信息发布计划，规范信息发布格式和频次，确保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信息发布标准化、规范化。今年累计发布信息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120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条，公示栏公开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83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条，村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大喇叭播放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各类政策37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（五）监督保障方面</w:t>
      </w:r>
      <w:r>
        <w:rPr>
          <w:rFonts w:hint="eastAsia" w:asci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是加强组织领导。及时调整政府信息公开工作领导小组，狠抓职责任务落实。二是强化制度建设。完善政府信息公开年度重点工作、任务分工方案、考评方案，夯实政府信息公开工作制度基础。三是加强工作部署。强化责任意识，坚持与业务工作同部署、同检查、同考核，主动公开咨询、监督投诉电话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5"/>
        <w:tblW w:w="8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058"/>
        <w:gridCol w:w="1686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</w:t>
            </w:r>
            <w:r>
              <w:rPr>
                <w:kern w:val="0"/>
                <w:sz w:val="24"/>
                <w:lang w:bidi="ar"/>
              </w:rPr>
              <w:t>制</w:t>
            </w:r>
            <w:r>
              <w:rPr>
                <w:rFonts w:hint="eastAsia"/>
                <w:kern w:val="0"/>
                <w:sz w:val="24"/>
                <w:lang w:eastAsia="zh-CN" w:bidi="ar"/>
              </w:rPr>
              <w:t>发件数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废止件数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规章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规范性文件</w:t>
            </w:r>
          </w:p>
        </w:tc>
        <w:tc>
          <w:tcPr>
            <w:tcW w:w="2058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81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行政许可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行政处罚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行政强制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2" w:type="dxa"/>
            <w:gridSpan w:val="4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信息内容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847" w:type="dxa"/>
            <w:noWrap/>
            <w:vAlign w:val="top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行政事业性收费</w:t>
            </w:r>
          </w:p>
        </w:tc>
        <w:tc>
          <w:tcPr>
            <w:tcW w:w="5625" w:type="dxa"/>
            <w:gridSpan w:val="3"/>
            <w:noWrap/>
            <w:vAlign w:val="top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tbl>
      <w:tblPr>
        <w:tblStyle w:val="5"/>
        <w:tblW w:w="8383" w:type="dxa"/>
        <w:jc w:val="center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756"/>
        <w:gridCol w:w="456"/>
        <w:gridCol w:w="652"/>
        <w:gridCol w:w="656"/>
        <w:gridCol w:w="655"/>
        <w:gridCol w:w="656"/>
        <w:gridCol w:w="46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3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3995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自然人</w:t>
            </w:r>
          </w:p>
        </w:tc>
        <w:tc>
          <w:tcPr>
            <w:tcW w:w="3083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3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商业企业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科研机构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社会公益组织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法律服务机构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三、本年度办理结果</w:t>
            </w: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（三）不予公开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（四）无法提供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（五）不予处理</w:t>
            </w: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（六）其他处理</w:t>
            </w:r>
          </w:p>
        </w:tc>
        <w:tc>
          <w:tcPr>
            <w:tcW w:w="2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2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3.其他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cs="Calibri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692" w:type="dxa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8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5"/>
        <w:tblW w:w="85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95"/>
        <w:gridCol w:w="510"/>
        <w:gridCol w:w="495"/>
        <w:gridCol w:w="555"/>
        <w:gridCol w:w="570"/>
        <w:gridCol w:w="525"/>
        <w:gridCol w:w="645"/>
        <w:gridCol w:w="555"/>
        <w:gridCol w:w="675"/>
        <w:gridCol w:w="645"/>
        <w:gridCol w:w="600"/>
        <w:gridCol w:w="600"/>
        <w:gridCol w:w="600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59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502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51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49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5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计</w:t>
            </w:r>
          </w:p>
        </w:tc>
        <w:tc>
          <w:tcPr>
            <w:tcW w:w="297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297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2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1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49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5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  <w:jc w:val="center"/>
        </w:trPr>
        <w:tc>
          <w:tcPr>
            <w:tcW w:w="5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1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9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7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5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一年来，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政府信息公开工作取得了一些成绩，但同时也存在一些问题，一是推动政府信息公开的力度不够；二是信息公开的内容不够充实，信息更新不够及时。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下一步，</w:t>
      </w: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将按照政府信息公开的相关要求，继续大力推进政府信息公开工作，主要是做好以下几方面工作：一是继续深化重点领域信息公开，主动、及时、准确公开政府信息，提升基层政务公开水平。二是强化政务公开工作队伍建设，加强对人员培训教育。三是进一步畅通政务公开渠道，充实公开内容，为群众提供优质高效的政务服务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喀拉也木勒镇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按照《国务院办公厅关于印发&lt;政府信息公开信息处理费管理办法&gt;的通知》（国办函〔2020〕109号）规定的按件、按量收费标准，本年度没有产生信息公开处理费。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额敏县喀拉也木勒镇人民政府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2025年2月12日</w:t>
      </w:r>
    </w:p>
    <w:sectPr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jNjMGY1N2ZlNDM0YjgxOWQ0MDZhNjlkYzhmMTYifQ=="/>
  </w:docVars>
  <w:rsids>
    <w:rsidRoot w:val="196AEAA9"/>
    <w:rsid w:val="0221260B"/>
    <w:rsid w:val="0A3D37B2"/>
    <w:rsid w:val="0E4D5CB6"/>
    <w:rsid w:val="11F36ED7"/>
    <w:rsid w:val="137A4F81"/>
    <w:rsid w:val="161E7190"/>
    <w:rsid w:val="165504B4"/>
    <w:rsid w:val="171E305A"/>
    <w:rsid w:val="196AEAA9"/>
    <w:rsid w:val="19BF4FFE"/>
    <w:rsid w:val="253F7473"/>
    <w:rsid w:val="26FB22FC"/>
    <w:rsid w:val="2843541A"/>
    <w:rsid w:val="28BA3A8A"/>
    <w:rsid w:val="30821D9B"/>
    <w:rsid w:val="32E93950"/>
    <w:rsid w:val="3A2D05C6"/>
    <w:rsid w:val="4D2B7135"/>
    <w:rsid w:val="50593A6B"/>
    <w:rsid w:val="52D7429F"/>
    <w:rsid w:val="53F21ABB"/>
    <w:rsid w:val="546E386E"/>
    <w:rsid w:val="55BA19F0"/>
    <w:rsid w:val="5CEA3F7C"/>
    <w:rsid w:val="5D311A21"/>
    <w:rsid w:val="61135EB8"/>
    <w:rsid w:val="61431B77"/>
    <w:rsid w:val="65CD6D12"/>
    <w:rsid w:val="661B5DF7"/>
    <w:rsid w:val="67EB2836"/>
    <w:rsid w:val="68D221B5"/>
    <w:rsid w:val="6E8A5785"/>
    <w:rsid w:val="6FB916B0"/>
    <w:rsid w:val="6FF47CCC"/>
    <w:rsid w:val="72896941"/>
    <w:rsid w:val="7291723F"/>
    <w:rsid w:val="74237D69"/>
    <w:rsid w:val="75E617CB"/>
    <w:rsid w:val="76714AC5"/>
    <w:rsid w:val="77754D7F"/>
    <w:rsid w:val="FDFE9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Lines="0" w:afterLines="0" w:line="360" w:lineRule="auto"/>
      <w:ind w:firstLine="200" w:firstLineChars="200"/>
      <w:outlineLvl w:val="2"/>
    </w:pPr>
    <w:rPr>
      <w:rFonts w:hint="eastAsia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2420</Words>
  <Characters>2465</Characters>
  <Lines>0</Lines>
  <Paragraphs>0</Paragraphs>
  <TotalTime>1</TotalTime>
  <ScaleCrop>false</ScaleCrop>
  <LinksUpToDate>false</LinksUpToDate>
  <CharactersWithSpaces>2497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2023-12-28T20:35:00Z</dcterms:created>
  <dc:creator>zfbgt</dc:creator>
  <cp:lastModifiedBy>Administrator</cp:lastModifiedBy>
  <cp:lastPrinted>2025-02-17T04:01:33Z</cp:lastPrinted>
  <dcterms:modified xsi:type="dcterms:W3CDTF">2025-02-19T09:26:11Z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27855C66093148798AB65D3DFF616889_13</vt:lpwstr>
  </property>
  <property fmtid="{D5CDD505-2E9C-101B-9397-08002B2CF9AE}" pid="4" name="KSOTemplateDocerSaveRecord">
    <vt:lpwstr>eyJoZGlkIjoiYjE5YjNjMGY1N2ZlNDM0YjgxOWQ0MDZhNjlkYzhmMTYiLCJ1c2VySWQiOiIxMTk2Njc2NzI4In0=</vt:lpwstr>
  </property>
</Properties>
</file>