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额敏县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卫健委202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本报告根据《中华人民共和国政府信息公开条例》（国务院令第711号）、《关于印发&lt;中华人民共和国政府信息公开工作年度报告格式&gt;的通知》（国办公开办函〔2021〕30号）、地区《关于做好2024年政府信息公开工作年度报告编制发布工作的通知》要求编制。报告全文包括总体情况、主动公开政府信息情况、收到和处理政府信息公开申请情况、因政府信息公开工作被申请行政复议和提起行政诉讼情况、政府信息公开存在的主要问题及改进情况，以及其他需要报告的事项六个部分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本报告所列数据统计期限自202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年12月31日。如对本年度报告有疑义，请联系：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卫健委办公室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额敏县哈医医院院内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，邮编：090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834600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，电话：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0901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3353391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卫生健康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委员会严格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县委、县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政府关于推进政府信息公开的部署和要求，紧紧围绕政务公开工作要点，始终把信息公开工作作为联系群众、服务社会、接受群众监督的重要桥梁，不断加强制度建设，在规范政府信息公开工作程序、深化政府信息公开内容、拓宽政府信息公开渠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道、强化监督考核等方面不断下功夫。进一步提高了政务公开实效。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（一）主动公开方面。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卫健委在政府网站栏目公开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执行法规条例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条，信息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发布公告2条、行政执法案件公示14件、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行政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许可（卫生许可）12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4条，行政许可（医生护士）411条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工作报告1份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医疗卫生服务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条，传染病防治知识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突发公共卫生应急1条，健康科普1条，协调解决群众异地就医问题1条，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按照“谁提供、谁审核、谁负责”的原则，先审核后公开。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（二）依申请公开方面。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卫健委未收到有关依申请公开内容，无因政府信息公开申请工作被申请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行政复议和行政诉讼的情况。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（三）政府信息管理方面。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卫健委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高度重视政府信息公开工作，所有拟公开的政务信息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格做到把好初审关、把好业务关、把好审签关，不断加强政府信息公开工作的规范化建设，着力提升政府信息公开和政府信息管理水平。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（四）平台建设方面。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每季度开展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自查，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安排专人负责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微信公众号平台的选题策划、内容审核、信息发布等职责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eastAsia="zh-CN"/>
        </w:rPr>
        <w:t>，严格执行“三审三校”制度，建立《健康额敏公众号“三审三校”制度》，所有对外发布稿件信息全部按照规定程序送审，逐级把关。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（五）监督保障方面。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常态化开展督查检查工作，强化日常监测和自查整改。完善相关工作制度规范，进一步明确政府信息公开工作职责。高质量地完成了各项的工作考核任务，积极做好社会评议工作，未收到投诉和造成不良影响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kern w:val="0"/>
                <w:sz w:val="24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5"/>
        <w:tblW w:w="8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3995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卫健委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进一步优化了信息版块、工作流程和工作内容等方面，并取得了一定成效，但仍存在一些问题，主要体现在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公开的全面性、及时性有待提升。针对这些问题，我们组织工作人员深入学习《中华人民共和国政府信息公开条例》，提高人员思想认识，充分发挥积极性、主动性，切实提高政务信息发布的质量，拓宽信息公开的范围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本机关按照《国务院办公厅关于印发&lt;政府信息公开信息处理费管理办法&gt;的通知》（国办函〔2020〕109号）规定的按件、按量收费标准，本年度未产生信息公开处理费。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额敏县卫生健康委员会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2025年2月12日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AEAA9"/>
    <w:rsid w:val="00106DB8"/>
    <w:rsid w:val="02B654DD"/>
    <w:rsid w:val="02EF7EC1"/>
    <w:rsid w:val="030B1AD3"/>
    <w:rsid w:val="04A4331E"/>
    <w:rsid w:val="05F2007B"/>
    <w:rsid w:val="0BB42338"/>
    <w:rsid w:val="0BF85900"/>
    <w:rsid w:val="0DAE0310"/>
    <w:rsid w:val="10EA62B0"/>
    <w:rsid w:val="13406A4F"/>
    <w:rsid w:val="14EF5703"/>
    <w:rsid w:val="17C84A90"/>
    <w:rsid w:val="18BE1160"/>
    <w:rsid w:val="196AEAA9"/>
    <w:rsid w:val="1B097EA1"/>
    <w:rsid w:val="203A4269"/>
    <w:rsid w:val="21171F0C"/>
    <w:rsid w:val="21842A76"/>
    <w:rsid w:val="23C13A3F"/>
    <w:rsid w:val="260A7563"/>
    <w:rsid w:val="265B196D"/>
    <w:rsid w:val="28AB655D"/>
    <w:rsid w:val="2B2B00ED"/>
    <w:rsid w:val="2C591FCD"/>
    <w:rsid w:val="2E2B7C83"/>
    <w:rsid w:val="2ECE623F"/>
    <w:rsid w:val="320E184D"/>
    <w:rsid w:val="35063CF2"/>
    <w:rsid w:val="351D7524"/>
    <w:rsid w:val="36CC3BF1"/>
    <w:rsid w:val="38237660"/>
    <w:rsid w:val="38BC6DAB"/>
    <w:rsid w:val="390C335B"/>
    <w:rsid w:val="39A3150B"/>
    <w:rsid w:val="3D784F17"/>
    <w:rsid w:val="3DCC5DDB"/>
    <w:rsid w:val="3DF67143"/>
    <w:rsid w:val="3F991F5D"/>
    <w:rsid w:val="4024509F"/>
    <w:rsid w:val="40627343"/>
    <w:rsid w:val="4349128A"/>
    <w:rsid w:val="44685054"/>
    <w:rsid w:val="44E31EF9"/>
    <w:rsid w:val="45C10E59"/>
    <w:rsid w:val="464F67AF"/>
    <w:rsid w:val="4805119D"/>
    <w:rsid w:val="557A7C16"/>
    <w:rsid w:val="55EE6057"/>
    <w:rsid w:val="5A0A20EB"/>
    <w:rsid w:val="5A2C22D0"/>
    <w:rsid w:val="5D4E4733"/>
    <w:rsid w:val="60454A26"/>
    <w:rsid w:val="607D7325"/>
    <w:rsid w:val="63C20BB3"/>
    <w:rsid w:val="654939B5"/>
    <w:rsid w:val="6D254797"/>
    <w:rsid w:val="6E0B49D4"/>
    <w:rsid w:val="71C24A03"/>
    <w:rsid w:val="72DB38B9"/>
    <w:rsid w:val="79D17EE1"/>
    <w:rsid w:val="7A1038B8"/>
    <w:rsid w:val="7C680493"/>
    <w:rsid w:val="7CC829D0"/>
    <w:rsid w:val="7E855034"/>
    <w:rsid w:val="7FBA11EE"/>
    <w:rsid w:val="FDFE9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2023-12-28T20:35:00Z</dcterms:created>
  <dc:creator>zfbgt</dc:creator>
  <cp:lastModifiedBy>Administrator</cp:lastModifiedBy>
  <cp:lastPrinted>2025-02-10T08:18:04Z</cp:lastPrinted>
  <dcterms:modified xsi:type="dcterms:W3CDTF">2025-02-18T11:41:36Z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