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_GB2312" w:eastAsia="方正小标宋_GBK" w:cs="仿宋_GB2312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仿宋_GB2312" w:eastAsia="方正小标宋_GBK" w:cs="仿宋_GB2312"/>
          <w:color w:val="auto"/>
          <w:sz w:val="44"/>
          <w:szCs w:val="44"/>
          <w:highlight w:val="none"/>
          <w:lang w:eastAsia="zh-CN"/>
        </w:rPr>
        <w:t>额敏县农业农村局</w:t>
      </w:r>
      <w:r>
        <w:rPr>
          <w:rFonts w:hint="eastAsia" w:ascii="方正小标宋_GBK" w:hAnsi="仿宋_GB2312" w:eastAsia="方正小标宋_GBK" w:cs="仿宋_GB2312"/>
          <w:color w:val="auto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_GBK" w:hAnsi="仿宋_GB2312" w:eastAsia="方正小标宋_GBK" w:cs="仿宋_GB2312"/>
          <w:color w:val="auto"/>
          <w:sz w:val="44"/>
          <w:szCs w:val="44"/>
          <w:highlight w:val="none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仿宋_GB2312" w:eastAsia="方正小标宋_GBK" w:cs="仿宋_GB2312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报告根据《中华人民共和国政府信息公开条例》（国务院令第711号）、《关于印发&lt;中华人民共和国政府信息公开工作年度报告格式&gt;的通知》（国办公开办函〔2021〕30号）、地区《关于做好2024年政府信息公开工作年度报告编制发布工作的通知》要求编制。报告全文包括总体情况、主动公开政府信息情况、收到和处理政府信息公开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请情况、因政府信息公开工作被申请行政复议和提起行政诉讼情况、政府信息公开存在的主要问题及改进情况，以及其他需要报告的事项六个部分。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报告统计期限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为2024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年1月1日起至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年12月31日止。如对本报告有疑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与额敏县农业农村局办公室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联系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额敏县塔城路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号，邮编：8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34600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，电话：090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3350023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2024年，额敏县农业农村局政府信息公开工作在县委、县政府正确领导下，认真贯彻落实《中华人民共和国政府信息公开条例》有关要求，围绕农业农村工作重点，全面推进政府信息公开工作。坚持以人民为中心，以公开促规范、以公开促落实、以公开促服务，以公开促监督，不断完善建立健全各项制度，合理确定公开的内容、程序和形式、载体，以方便群众办事和监督为原则，不断充实和逐渐深化政府信息公开的内容，改进和完善政府信息公开的方法，深入推进政府信息公开工作，提高政府信息工作透明度，切实保障人民群众的知情权、参与权和监督权，确保政府信息公开工作取得实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）主动公开情况。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坚持以“公开为常态、不公开为例外”的原则，立足本部门职能，围绕农业农村工作重点，及时公布农业农村工作动态、农业行政处罚信息、农业农村实施重大项目信息、重大新闻事件，及时公开最新农业农村工作动态和国家惠农涉农方针政策、农业法律法规、重大决策落实情况。本年度主动公开政府信息64条（其中：机构职能2条、公示公告20条、行政处罚22条、涉农补贴13条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instrText xml:space="preserve"> HYPERLINK "http://www.xjem.gov.cn/xjem/zwwgk/list_tj.shtml" \t "http://www.xjem.gov.cn/xjem/zwwgk/202403/_blank"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重大会议信息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1条、乡村振兴6条）。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（二）依申请公开情况。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推进政府信息依申请公开规范化建设，严格依法依规办理申请，健全登记、审核、办理、答复、归档等工作制度，按照《中华人民共和国政府信息公开条例》相关规定办理政府信息公开申请。2024年，未收到政府信息公开申请、未发生因政府信息公开引起行政复议、行政诉讼及举报投诉情况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（三）政府信息管理情况。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强领导对政府信息的管理，坚持把政府信息公开作为推进依法行政、提高行政效能、预防和惩治腐败的重要举措，与部门工作同部署同推进。建立了信息发布审批制度，严格落实“谁发布、谁审核、谁负责”的原则，加强信息发布审核把关，严防出现错别字和严重表述错误等问题，确保信息真实、完整、准确、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（四）平台建设情况。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为保障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政府信息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公开顺利开展，局领导高度重视，把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政府信息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公开工作纳入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eastAsia="zh-CN"/>
        </w:rPr>
        <w:t>农业农村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重点工作。健全工作机制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成立由局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eastAsia="zh-CN"/>
        </w:rPr>
        <w:t>党组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书记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eastAsia="zh-CN"/>
        </w:rPr>
        <w:t>担任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组长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eastAsia="zh-CN"/>
        </w:rPr>
        <w:t>站校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负责人为成员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政府信息公开工作领导小组，切实履行第一责任人职责，确保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政府信息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公开工作有组织、有领导、有计划，积极稳妥开展。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（五）监督保障情况。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突出重点、制定规章，根据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公开工作指南中的基本要求，结合本单位实际，制定方案，对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公开内容进行了认真梳理，围绕重点做到了全面公开、重点公开，保证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公开规范化、制度化，为全面推进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公开提供了组织保障。2024年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额敏县农业农村局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未出现因信息公开不到位需要进行责任追究的情况。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二、主动公开政府信息情况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2200"/>
        <w:gridCol w:w="180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信息内容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本年制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发件数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本年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废止件数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规章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规范性文件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行政许可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行政处罚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行政强制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行政事业性收费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0"/>
          <w:highlight w:val="none"/>
        </w:rPr>
        <w:t>三、收到和处理政府信息公开申请情况</w:t>
      </w:r>
    </w:p>
    <w:tbl>
      <w:tblPr>
        <w:tblStyle w:val="5"/>
        <w:tblW w:w="9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009"/>
        <w:gridCol w:w="2979"/>
        <w:gridCol w:w="491"/>
        <w:gridCol w:w="703"/>
        <w:gridCol w:w="703"/>
        <w:gridCol w:w="703"/>
        <w:gridCol w:w="703"/>
        <w:gridCol w:w="514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5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432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9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自然人</w:t>
            </w:r>
          </w:p>
        </w:tc>
        <w:tc>
          <w:tcPr>
            <w:tcW w:w="33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法人或其他组织</w:t>
            </w:r>
          </w:p>
        </w:tc>
        <w:tc>
          <w:tcPr>
            <w:tcW w:w="50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9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商业企业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科研机构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社会公益组织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法律服务机构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50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一、本年新收政府信息公开申请数量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二、上年结转政府信息公开申请数量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三、本年度办理结果</w:t>
            </w: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（一）予以公开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vanish w:val="0"/>
                <w:color w:val="auto"/>
                <w:spacing w:val="-11"/>
                <w:w w:val="100"/>
                <w:sz w:val="24"/>
                <w:szCs w:val="24"/>
                <w:highlight w:val="none"/>
                <w:u w:val="none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anish w:val="0"/>
                <w:color w:val="auto"/>
                <w:spacing w:val="-11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vanish w:val="0"/>
                <w:color w:val="auto"/>
                <w:spacing w:val="-11"/>
                <w:w w:val="100"/>
                <w:sz w:val="24"/>
                <w:szCs w:val="24"/>
                <w:highlight w:val="none"/>
                <w:u w:val="none"/>
              </w:rPr>
              <w:t>不予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vanish w:val="0"/>
                <w:color w:val="auto"/>
                <w:spacing w:val="-11"/>
                <w:w w:val="100"/>
                <w:sz w:val="24"/>
                <w:szCs w:val="24"/>
                <w:highlight w:val="none"/>
                <w:u w:val="none"/>
              </w:rPr>
              <w:t>公开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.属于国家秘密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.其他法律行政法规禁止公开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.危及“三安全一稳定”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.保护第三方合法权益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.属于三类内部事务信息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.属于四类过程性信息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.属于行政执法案卷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.属于行政查询事项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（四）无法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提供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.本机关不掌握相关政府信息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.没有现成信息需要另行制作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补正后申请内容仍不明确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（五）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不予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处理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.信访举报投诉类申请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.要求提供公开出版物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vanish w:val="0"/>
                <w:color w:val="auto"/>
                <w:spacing w:val="-6"/>
                <w:w w:val="100"/>
                <w:sz w:val="24"/>
                <w:szCs w:val="24"/>
                <w:highlight w:val="none"/>
                <w:u w:val="none"/>
              </w:rPr>
              <w:t>无正当理由大量反复申请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.要求行政机关确认或重新出具已获取信息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747" w:type="dxa"/>
            <w:vMerge w:val="restart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三、本年度办理结果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（六）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处理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.申请人无正当理由逾期不补正、行政机关不再处理其政府信息公开申请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.申请人逾期未按收费通知要求缴纳费用、行政机关不再处理其政府信息公开申请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.其他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（七）总计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3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四、结转下年度继续办理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四、政府信息公开行政复议、行政诉讼情况</w:t>
      </w:r>
    </w:p>
    <w:tbl>
      <w:tblPr>
        <w:tblStyle w:val="5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25"/>
        <w:gridCol w:w="542"/>
        <w:gridCol w:w="525"/>
        <w:gridCol w:w="598"/>
        <w:gridCol w:w="607"/>
        <w:gridCol w:w="558"/>
        <w:gridCol w:w="687"/>
        <w:gridCol w:w="591"/>
        <w:gridCol w:w="721"/>
        <w:gridCol w:w="687"/>
        <w:gridCol w:w="638"/>
        <w:gridCol w:w="638"/>
        <w:gridCol w:w="638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2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行政复议</w:t>
            </w:r>
          </w:p>
        </w:tc>
        <w:tc>
          <w:tcPr>
            <w:tcW w:w="6336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结果维持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结果纠正</w:t>
            </w:r>
          </w:p>
        </w:tc>
        <w:tc>
          <w:tcPr>
            <w:tcW w:w="5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其他结果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尚未审结</w:t>
            </w:r>
          </w:p>
        </w:tc>
        <w:tc>
          <w:tcPr>
            <w:tcW w:w="59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计</w:t>
            </w:r>
          </w:p>
        </w:tc>
        <w:tc>
          <w:tcPr>
            <w:tcW w:w="316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未经复议直接起诉</w:t>
            </w:r>
          </w:p>
        </w:tc>
        <w:tc>
          <w:tcPr>
            <w:tcW w:w="317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53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结果维持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结果纠正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其他结果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尚未审结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总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  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结果维持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结果纠正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其他结果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尚未审结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2024年额敏县农业农村局政府信息公开工作取得了一定进度，但还存在以下问题：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公开的形式仍不够丰富，内容有待进一步充实完善。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对政策解读、重点工作的系统性宣传有待进一步加强，信息公开内容有待于进一步规范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等问题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针对存在的问题，额敏县农业农村局将从以下几个方面进行改进。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一是进一步扩大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信息公开范围、规范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信息公开措施、严格执行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信息公开制度、丰富政府信息公开形式，全力提升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公开水平，积极服务广大人民群众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二是进一步加大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信息主动公开力度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全面贯彻落实上级部门的要求，对需要社会公众广泛知晓或者参与的，采取适当的形式，及时主动予以公开。</w:t>
      </w:r>
    </w:p>
    <w:p>
      <w:pPr>
        <w:spacing w:line="560" w:lineRule="exact"/>
        <w:ind w:firstLine="636" w:firstLineChars="19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六、其他需要报告的事项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本机关按照《国务院办公厅关于印发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&lt;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政府信息公开信息处理费管理办法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&gt;的通知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》（国办函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109号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）规定的按件、按量收费标准，本年度没有产生信息公开处理费。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</w:pP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</w:pPr>
    </w:p>
    <w:p>
      <w:pPr>
        <w:spacing w:line="560" w:lineRule="exact"/>
        <w:ind w:firstLine="636" w:firstLineChars="199"/>
        <w:jc w:val="right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额敏县农业农村局</w:t>
      </w:r>
    </w:p>
    <w:p>
      <w:pPr>
        <w:spacing w:line="560" w:lineRule="exact"/>
        <w:ind w:firstLine="636" w:firstLineChars="199"/>
        <w:jc w:val="righ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2025年2月12日</w:t>
      </w:r>
    </w:p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984" w:right="1531" w:bottom="1701" w:left="1531" w:header="851" w:footer="1417" w:gutter="0"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6EF4"/>
    <w:multiLevelType w:val="singleLevel"/>
    <w:tmpl w:val="184C6E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316BC5"/>
    <w:multiLevelType w:val="singleLevel"/>
    <w:tmpl w:val="47316BC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GZkNzdjYTZhYTBkMzI1ZmYyZTYxZDNhZjYyYjIifQ=="/>
  </w:docVars>
  <w:rsids>
    <w:rsidRoot w:val="0EAE5D67"/>
    <w:rsid w:val="032178FE"/>
    <w:rsid w:val="0B80763D"/>
    <w:rsid w:val="0EAE5D67"/>
    <w:rsid w:val="12E10C60"/>
    <w:rsid w:val="15DB60C6"/>
    <w:rsid w:val="1EE30D75"/>
    <w:rsid w:val="30E82D24"/>
    <w:rsid w:val="32DA5177"/>
    <w:rsid w:val="3D943C96"/>
    <w:rsid w:val="40866FE9"/>
    <w:rsid w:val="419552CA"/>
    <w:rsid w:val="44A65D2D"/>
    <w:rsid w:val="5F091AE9"/>
    <w:rsid w:val="5F316099"/>
    <w:rsid w:val="62AF52A8"/>
    <w:rsid w:val="74F305C7"/>
    <w:rsid w:val="76C2316E"/>
    <w:rsid w:val="78B24939"/>
    <w:rsid w:val="7D20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2025-02-19T08:07:00Z</dcterms:created>
  <dc:creator>Administrator</dc:creator>
  <cp:lastModifiedBy>Administrator</cp:lastModifiedBy>
  <cp:lastPrinted>2025-02-19T10:41:00Z</cp:lastPrinted>
  <dcterms:modified xsi:type="dcterms:W3CDTF">2025-02-20T11:10:47Z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2AB991BC0FB9433CB1E37238587647AD_11</vt:lpwstr>
  </property>
</Properties>
</file>