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仿宋_GB2312" w:eastAsia="方正小标宋_GBK" w:cs="仿宋_GB2312"/>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仿宋_GB2312" w:eastAsia="方正小标宋_GBK" w:cs="仿宋_GB2312"/>
          <w:b w:val="0"/>
          <w:bCs w:val="0"/>
          <w:kern w:val="2"/>
          <w:sz w:val="44"/>
          <w:szCs w:val="44"/>
          <w:lang w:val="en-US" w:eastAsia="zh-CN" w:bidi="ar-SA"/>
        </w:rPr>
      </w:pPr>
      <w:r>
        <w:rPr>
          <w:rFonts w:hint="eastAsia" w:ascii="方正小标宋_GBK" w:hAnsi="仿宋_GB2312" w:eastAsia="方正小标宋_GBK" w:cs="仿宋_GB2312"/>
          <w:b w:val="0"/>
          <w:bCs w:val="0"/>
          <w:kern w:val="2"/>
          <w:sz w:val="44"/>
          <w:szCs w:val="44"/>
          <w:lang w:val="en-US" w:eastAsia="zh-CN" w:bidi="ar-SA"/>
        </w:rPr>
        <w:t>额敏县住房和</w:t>
      </w:r>
      <w:bookmarkStart w:id="4" w:name="_GoBack"/>
      <w:bookmarkEnd w:id="4"/>
      <w:r>
        <w:rPr>
          <w:rFonts w:hint="eastAsia" w:ascii="方正小标宋_GBK" w:hAnsi="仿宋_GB2312" w:eastAsia="方正小标宋_GBK" w:cs="仿宋_GB2312"/>
          <w:b w:val="0"/>
          <w:bCs w:val="0"/>
          <w:kern w:val="2"/>
          <w:sz w:val="44"/>
          <w:szCs w:val="44"/>
          <w:lang w:val="en-US" w:eastAsia="zh-CN" w:bidi="ar-SA"/>
        </w:rPr>
        <w:t>城乡建设局2024年度政府信息公开工作年度报告</w:t>
      </w:r>
    </w:p>
    <w:p>
      <w:pPr>
        <w:rPr>
          <w:rFonts w:hint="eastAsia"/>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根据《中华人民共和国政府信息公开条例》（以下简称《条例》）规定，额敏县住建局紧紧围绕自治区、塔城地区和额敏县关于全面推进政府信息公开工作的各项决策部署，对本单位的政府信息公开工作进行统计分析，形成本年度报告。报告中所列资料数据的汇总统计期限从2024年1月1日起至2024年12月31日止。本年度报告的电子版可在额敏县人民政府门户网站(www.xjem.gov.cn)政府信息公开栏内下载。如对本年度报告有</w:t>
      </w:r>
      <w:r>
        <w:rPr>
          <w:rFonts w:hint="eastAsia" w:ascii="仿宋_GB2312" w:hAnsi="宋体" w:eastAsia="仿宋_GB2312" w:cs="宋体"/>
          <w:color w:val="auto"/>
          <w:sz w:val="32"/>
          <w:szCs w:val="32"/>
          <w:lang w:eastAsia="zh-CN"/>
        </w:rPr>
        <w:t>疑问，</w:t>
      </w:r>
      <w:r>
        <w:rPr>
          <w:rFonts w:hint="eastAsia" w:ascii="仿宋_GB2312" w:hAnsi="仿宋_GB2312" w:eastAsia="仿宋_GB2312" w:cs="仿宋_GB2312"/>
          <w:kern w:val="2"/>
          <w:sz w:val="32"/>
          <w:szCs w:val="32"/>
          <w:lang w:val="en-US" w:eastAsia="zh-CN" w:bidi="ar-SA"/>
        </w:rPr>
        <w:t>请联系：额敏县住建局办公室（地址：额敏县文化路37号，邮编：834600，电话：0901-3300652）。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40"/>
        </w:rPr>
        <w:t>（一）主动公开情况</w:t>
      </w:r>
      <w:r>
        <w:rPr>
          <w:rFonts w:hint="eastAsia" w:ascii="仿宋_GB2312" w:hAnsi="仿宋_GB2312" w:eastAsia="仿宋_GB2312" w:cs="仿宋_GB2312"/>
          <w:sz w:val="32"/>
          <w:szCs w:val="32"/>
        </w:rPr>
        <w:t>。为全面有序落实政府信息公开工作，在局党组书记的带领下，各部门指定专人负责，由局综合办公室负责政府信息公开日常工作，并协调监督各部门落实政府信息公开工作，确保涉及住建领域的政府事项及时公开，稳步落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40"/>
        </w:rPr>
        <w:t>（二）依申请公开情况。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年未收到依申请公开事项。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40"/>
        </w:rPr>
        <w:t>（三）政府信息管理情况。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立足工作实际和职能范围，认真梳理和分析研判公开内容，经分管领导、主要领导审核之后方可公示。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明确办事时限，提高办理效率和服务质量。按照便利、实用、有效的原则，坚持每月通过政府网站栏目更新公开相关信息，提高政府信息公开工作透明度，接受人民群众的监督，促进依法行政，充分发挥职能作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树牢政府信息公开红线意识和底线思维，由局领导一手抓，加强政府信息公开发布审查机制，进一步规范信息发布工作，确保发布信息合法、准确。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bookmarkStart w:id="0" w:name="OLE_LINK3"/>
      <w:r>
        <w:rPr>
          <w:rFonts w:hint="eastAsia" w:ascii="楷体" w:hAnsi="楷体" w:eastAsia="楷体" w:cs="楷体"/>
          <w:b/>
          <w:bCs/>
          <w:sz w:val="32"/>
          <w:szCs w:val="40"/>
        </w:rPr>
        <w:t>（四）</w:t>
      </w:r>
      <w:bookmarkStart w:id="1" w:name="OLE_LINK1"/>
      <w:r>
        <w:rPr>
          <w:rFonts w:hint="eastAsia" w:ascii="楷体" w:hAnsi="楷体" w:eastAsia="楷体" w:cs="楷体"/>
          <w:b/>
          <w:bCs/>
          <w:sz w:val="32"/>
          <w:szCs w:val="40"/>
        </w:rPr>
        <w:t>平台建设情况</w:t>
      </w:r>
      <w:r>
        <w:rPr>
          <w:rFonts w:hint="eastAsia" w:ascii="仿宋_GB2312" w:hAnsi="仿宋_GB2312" w:eastAsia="仿宋_GB2312" w:cs="仿宋_GB2312"/>
          <w:sz w:val="32"/>
          <w:szCs w:val="32"/>
        </w:rPr>
        <w:t>。</w:t>
      </w:r>
      <w:bookmarkStart w:id="2" w:name="OLE_LINK4"/>
      <w:bookmarkStart w:id="3" w:name="OLE_LINK2"/>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住建局在额敏县政府网站政务公开二级页面开设栏目</w:t>
      </w:r>
      <w:bookmarkEnd w:id="2"/>
      <w:r>
        <w:rPr>
          <w:rFonts w:hint="eastAsia" w:ascii="仿宋_GB2312" w:hAnsi="仿宋_GB2312" w:eastAsia="仿宋_GB2312" w:cs="仿宋_GB2312"/>
          <w:sz w:val="32"/>
          <w:szCs w:val="32"/>
        </w:rPr>
        <w:t>，每月及时公布更新栏目内容。二是持续推进新疆一体化政务服务平台建设，编制住建局政务服务事项目录</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项。</w:t>
      </w:r>
    </w:p>
    <w:bookmarkEnd w:id="0"/>
    <w:bookmarkEnd w:id="1"/>
    <w:bookmarkEnd w:id="3"/>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40"/>
        </w:rPr>
        <w:t>（五）监督保障情况</w:t>
      </w:r>
      <w:r>
        <w:rPr>
          <w:rFonts w:hint="eastAsia" w:ascii="仿宋_GB2312" w:hAnsi="仿宋_GB2312" w:eastAsia="仿宋_GB2312" w:cs="仿宋_GB2312"/>
          <w:sz w:val="32"/>
          <w:szCs w:val="32"/>
        </w:rPr>
        <w:t>。一是完善公开机制，畅通投诉渠道，接受群众监督。202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住建局进一步完善了内部政务公开、受理投诉、监督查处机制。通过投诉电话、投诉信箱等渠道受理群众投诉，实施限时办理、及时跟踪、按时反馈工作法，提高工作效率。二是及时调整政务公开领导小组，由局党组书记任组长，分管领导任副组长，明确各领导及部门、科室职责，并且安排专人负责政府信息公开工作，切实提升政府信息公开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200"/>
        <w:gridCol w:w="180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本年制</w:t>
            </w:r>
            <w:r>
              <w:rPr>
                <w:rFonts w:hint="eastAsia" w:ascii="黑体" w:hAnsi="黑体" w:eastAsia="黑体" w:cs="黑体"/>
                <w:sz w:val="24"/>
                <w:szCs w:val="24"/>
                <w:lang w:eastAsia="zh-CN"/>
              </w:rPr>
              <w:t>发件数</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w:t>
            </w:r>
            <w:r>
              <w:rPr>
                <w:rFonts w:hint="eastAsia" w:ascii="黑体" w:hAnsi="黑体" w:eastAsia="黑体" w:cs="黑体"/>
                <w:sz w:val="24"/>
                <w:szCs w:val="24"/>
                <w:lang w:eastAsia="zh-CN"/>
              </w:rPr>
              <w:t>废止件数</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1200" w:firstLineChars="500"/>
              <w:jc w:val="left"/>
              <w:textAlignment w:val="auto"/>
              <w:rPr>
                <w:sz w:val="24"/>
                <w:szCs w:val="24"/>
              </w:rPr>
            </w:pPr>
            <w:r>
              <w:rPr>
                <w:rFonts w:hint="eastAsia"/>
                <w:sz w:val="24"/>
                <w:szCs w:val="24"/>
              </w:rPr>
              <w:t>规章</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规范性文件</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sz w:val="24"/>
                <w:szCs w:val="24"/>
                <w:highlight w:val="yellow"/>
              </w:rPr>
            </w:pPr>
            <w:r>
              <w:rPr>
                <w:rFonts w:hint="eastAsia"/>
                <w:sz w:val="24"/>
                <w:szCs w:val="24"/>
              </w:rPr>
              <w:t>行政许可</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highlight w:val="yellow"/>
                <w:lang w:val="en-US" w:eastAsia="zh-CN"/>
              </w:rPr>
            </w:pPr>
            <w:r>
              <w:rPr>
                <w:rFonts w:hint="eastAsia"/>
                <w:sz w:val="24"/>
                <w:szCs w:val="24"/>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sz w:val="24"/>
                <w:szCs w:val="24"/>
                <w:highlight w:val="yellow"/>
              </w:rPr>
            </w:pPr>
            <w:r>
              <w:rPr>
                <w:rFonts w:hint="eastAsia"/>
                <w:sz w:val="24"/>
                <w:szCs w:val="24"/>
                <w:lang w:val="en-US" w:eastAsia="zh-CN"/>
              </w:rPr>
              <w:t>行政处罚</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highlight w:val="yellow"/>
                <w:lang w:val="en-US" w:eastAsia="zh-CN"/>
              </w:rPr>
            </w:pPr>
            <w:r>
              <w:rPr>
                <w:rFonts w:hint="eastAsia"/>
                <w:sz w:val="24"/>
                <w:szCs w:val="24"/>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行政强制</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rPr>
              <w:t>行政事业性收费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bl>
    <w:p>
      <w:pPr>
        <w:pStyle w:val="5"/>
        <w:widowControl/>
        <w:spacing w:before="0" w:beforeAutospacing="0" w:after="0" w:afterAutospacing="0" w:line="560" w:lineRule="exact"/>
        <w:ind w:firstLine="640" w:firstLineChars="200"/>
        <w:jc w:val="both"/>
        <w:rPr>
          <w:rFonts w:hint="eastAsia" w:ascii="黑体" w:hAnsi="黑体" w:eastAsia="黑体" w:cs="黑体"/>
          <w:sz w:val="32"/>
          <w:szCs w:val="30"/>
        </w:rPr>
      </w:pPr>
      <w:r>
        <w:rPr>
          <w:rFonts w:hint="eastAsia" w:ascii="黑体" w:hAnsi="黑体" w:eastAsia="黑体" w:cs="黑体"/>
          <w:sz w:val="32"/>
          <w:szCs w:val="30"/>
        </w:rPr>
        <w:t>三、收到和处理政府信息公开申请情况</w:t>
      </w:r>
    </w:p>
    <w:tbl>
      <w:tblPr>
        <w:tblStyle w:val="6"/>
        <w:tblW w:w="905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009"/>
        <w:gridCol w:w="2979"/>
        <w:gridCol w:w="491"/>
        <w:gridCol w:w="703"/>
        <w:gridCol w:w="703"/>
        <w:gridCol w:w="703"/>
        <w:gridCol w:w="703"/>
        <w:gridCol w:w="51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（本列数据的勾稽关系为：第一项加第二项之和，等于第三项加第四项之和）</w:t>
            </w:r>
          </w:p>
        </w:tc>
        <w:tc>
          <w:tcPr>
            <w:tcW w:w="4320" w:type="dxa"/>
            <w:gridSpan w:val="7"/>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黑体" w:hAnsi="黑体" w:eastAsia="黑体" w:cs="黑体"/>
                <w:sz w:val="24"/>
                <w:szCs w:val="24"/>
              </w:rPr>
            </w:pPr>
          </w:p>
        </w:tc>
        <w:tc>
          <w:tcPr>
            <w:tcW w:w="491"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自然人</w:t>
            </w:r>
          </w:p>
        </w:tc>
        <w:tc>
          <w:tcPr>
            <w:tcW w:w="3326" w:type="dxa"/>
            <w:gridSpan w:val="5"/>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503"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宋体" w:hAnsi="宋体" w:eastAsia="宋体" w:cs="宋体"/>
                <w:sz w:val="24"/>
                <w:szCs w:val="24"/>
              </w:rPr>
            </w:pPr>
          </w:p>
        </w:tc>
        <w:tc>
          <w:tcPr>
            <w:tcW w:w="491" w:type="dxa"/>
            <w:vMerge w:val="continue"/>
            <w:noWrap w:val="0"/>
            <w:tcMar>
              <w:left w:w="108" w:type="dxa"/>
              <w:right w:w="108" w:type="dxa"/>
            </w:tcMar>
            <w:vAlign w:val="center"/>
          </w:tcPr>
          <w:p>
            <w:pPr>
              <w:rPr>
                <w:rFonts w:hint="eastAsia" w:ascii="宋体" w:hAnsi="宋体" w:eastAsia="宋体" w:cs="宋体"/>
                <w:sz w:val="24"/>
                <w:szCs w:val="24"/>
              </w:rPr>
            </w:pP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商业企业</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科研机构</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社会公益组织</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法律服务机构</w:t>
            </w:r>
          </w:p>
        </w:tc>
        <w:tc>
          <w:tcPr>
            <w:tcW w:w="514"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其他</w:t>
            </w:r>
          </w:p>
        </w:tc>
        <w:tc>
          <w:tcPr>
            <w:tcW w:w="503" w:type="dxa"/>
            <w:vMerge w:val="continue"/>
            <w:noWrap w:val="0"/>
            <w:tcMar>
              <w:left w:w="108" w:type="dxa"/>
              <w:right w:w="108" w:type="dxa"/>
            </w:tcMar>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sz w:val="24"/>
                <w:szCs w:val="24"/>
                <w:lang w:val="en-US"/>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sz w:val="24"/>
                <w:szCs w:val="24"/>
                <w:lang w:val="en-US"/>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default" w:ascii="宋体" w:hAnsi="宋体" w:eastAsia="宋体" w:cs="宋体"/>
                <w:sz w:val="24"/>
                <w:szCs w:val="24"/>
                <w:lang w:val="en-US"/>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default" w:ascii="宋体" w:hAnsi="宋体" w:eastAsia="宋体" w:cs="宋体"/>
                <w:sz w:val="24"/>
                <w:szCs w:val="24"/>
                <w:lang w:val="en-US"/>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default" w:ascii="宋体" w:hAnsi="宋体" w:eastAsia="宋体" w:cs="宋体"/>
                <w:sz w:val="24"/>
                <w:szCs w:val="24"/>
                <w:lang w:val="en-US"/>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（一）予以公开</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1"/>
              </w:numPr>
              <w:jc w:val="center"/>
              <w:rPr>
                <w:rFonts w:hint="eastAsia" w:ascii="宋体" w:hAnsi="宋体" w:eastAsia="宋体" w:cs="宋体"/>
                <w:outline w:val="0"/>
                <w:shadow w:val="0"/>
                <w:emboss w:val="0"/>
                <w:imprint w:val="0"/>
                <w:vanish w:val="0"/>
                <w:spacing w:val="-11"/>
                <w:w w:val="100"/>
                <w:sz w:val="24"/>
                <w:szCs w:val="24"/>
                <w:u w:val="none"/>
              </w:rPr>
            </w:pPr>
          </w:p>
          <w:p>
            <w:pPr>
              <w:numPr>
                <w:ilvl w:val="0"/>
                <w:numId w:val="0"/>
              </w:numPr>
              <w:jc w:val="center"/>
              <w:rPr>
                <w:rFonts w:hint="eastAsia" w:ascii="宋体" w:hAnsi="宋体" w:eastAsia="宋体" w:cs="宋体"/>
                <w:outline w:val="0"/>
                <w:shadow w:val="0"/>
                <w:emboss w:val="0"/>
                <w:imprint w:val="0"/>
                <w:vanish w:val="0"/>
                <w:spacing w:val="-11"/>
                <w:w w:val="100"/>
                <w:sz w:val="24"/>
                <w:szCs w:val="24"/>
                <w:u w:val="none"/>
              </w:rPr>
            </w:pPr>
            <w:r>
              <w:rPr>
                <w:rFonts w:hint="eastAsia" w:ascii="宋体" w:hAnsi="宋体" w:eastAsia="宋体" w:cs="宋体"/>
                <w:outline w:val="0"/>
                <w:shadow w:val="0"/>
                <w:emboss w:val="0"/>
                <w:imprint w:val="0"/>
                <w:vanish w:val="0"/>
                <w:spacing w:val="-11"/>
                <w:w w:val="100"/>
                <w:sz w:val="24"/>
                <w:szCs w:val="24"/>
                <w:u w:val="none"/>
              </w:rPr>
              <w:t>不予</w:t>
            </w:r>
          </w:p>
          <w:p>
            <w:pPr>
              <w:numPr>
                <w:ilvl w:val="0"/>
                <w:numId w:val="0"/>
              </w:numPr>
              <w:jc w:val="center"/>
              <w:rPr>
                <w:rFonts w:hint="eastAsia" w:ascii="宋体" w:hAnsi="宋体" w:eastAsia="宋体" w:cs="宋体"/>
                <w:sz w:val="24"/>
                <w:szCs w:val="24"/>
              </w:rPr>
            </w:pPr>
            <w:r>
              <w:rPr>
                <w:rFonts w:hint="eastAsia" w:ascii="宋体" w:hAnsi="宋体" w:eastAsia="宋体" w:cs="宋体"/>
                <w:outline w:val="0"/>
                <w:shadow w:val="0"/>
                <w:emboss w:val="0"/>
                <w:imprint w:val="0"/>
                <w:vanish w:val="0"/>
                <w:spacing w:val="-11"/>
                <w:w w:val="100"/>
                <w:sz w:val="24"/>
                <w:szCs w:val="24"/>
                <w:u w:val="none"/>
              </w:rPr>
              <w:t>公开</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.属于国家秘密</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.其他法律行政法规禁止公开</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.危及“三安全一稳定”</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.保护第三方合法权益</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.属于三类内部事务信息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6</w:t>
            </w:r>
            <w:r>
              <w:rPr>
                <w:rFonts w:hint="eastAsia" w:ascii="宋体" w:hAnsi="宋体" w:eastAsia="宋体" w:cs="宋体"/>
                <w:sz w:val="24"/>
                <w:szCs w:val="24"/>
              </w:rPr>
              <w:t>.属于四类过程性信息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7</w:t>
            </w:r>
            <w:r>
              <w:rPr>
                <w:rFonts w:hint="eastAsia" w:ascii="宋体" w:hAnsi="宋体" w:eastAsia="宋体" w:cs="宋体"/>
                <w:sz w:val="24"/>
                <w:szCs w:val="24"/>
              </w:rPr>
              <w:t>.属于行政执法案卷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8</w:t>
            </w:r>
            <w:r>
              <w:rPr>
                <w:rFonts w:hint="eastAsia" w:ascii="宋体" w:hAnsi="宋体" w:eastAsia="宋体" w:cs="宋体"/>
                <w:sz w:val="24"/>
                <w:szCs w:val="24"/>
              </w:rPr>
              <w:t>.属于行政查询事项</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（四）无法</w:t>
            </w:r>
          </w:p>
          <w:p>
            <w:pPr>
              <w:jc w:val="center"/>
              <w:rPr>
                <w:rFonts w:hint="eastAsia" w:ascii="宋体" w:hAnsi="宋体" w:eastAsia="宋体" w:cs="宋体"/>
                <w:sz w:val="24"/>
                <w:szCs w:val="24"/>
              </w:rPr>
            </w:pPr>
            <w:r>
              <w:rPr>
                <w:rFonts w:hint="eastAsia" w:ascii="宋体" w:hAnsi="宋体" w:eastAsia="宋体" w:cs="宋体"/>
                <w:sz w:val="24"/>
                <w:szCs w:val="24"/>
              </w:rPr>
              <w:t>提供</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.本机关不掌握相关政府信息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.没有现成信息需要另行制作</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宋体" w:hAnsi="宋体" w:eastAsia="宋体" w:cs="宋体"/>
                <w:spacing w:val="-6"/>
                <w:sz w:val="24"/>
                <w:szCs w:val="24"/>
              </w:rPr>
              <w:t>补正后申请内容仍不明确</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（五）</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不予</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.信访举报投诉类申请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.重复申请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.要求提供公开出版物</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w:t>
            </w:r>
            <w:r>
              <w:rPr>
                <w:rFonts w:hint="eastAsia" w:ascii="宋体" w:hAnsi="宋体" w:eastAsia="宋体" w:cs="宋体"/>
                <w:outline w:val="0"/>
                <w:shadow w:val="0"/>
                <w:emboss w:val="0"/>
                <w:imprint w:val="0"/>
                <w:vanish w:val="0"/>
                <w:spacing w:val="-6"/>
                <w:w w:val="100"/>
                <w:sz w:val="24"/>
                <w:szCs w:val="24"/>
                <w:u w:val="none"/>
              </w:rPr>
              <w:t>无正当理由大量反复申请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.要求行政机关确认或重新出具已获取信息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47" w:type="dxa"/>
            <w:vMerge w:val="restart"/>
            <w:tcBorders>
              <w:right w:val="single" w:color="auto" w:sz="4" w:space="0"/>
            </w:tcBorders>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100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（六）</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其他</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tcBorders>
              <w:top w:val="single" w:color="auto" w:sz="4" w:space="0"/>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en-US" w:eastAsia="zh-CN"/>
              </w:rPr>
              <w:t>.申请人无正当理由逾期不补正、行政机关不再处理其政府信息公开申请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en-US" w:eastAsia="zh-CN"/>
              </w:rPr>
              <w:t>.申请人逾期未按收费通知要求缴纳费用、行政机关不再处理其政府信息公开申请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r>
              <w:rPr>
                <w:rFonts w:hint="eastAsia" w:ascii="宋体" w:hAnsi="宋体" w:eastAsia="宋体" w:cs="宋体"/>
                <w:sz w:val="24"/>
                <w:szCs w:val="24"/>
                <w:lang w:val="en-US" w:eastAsia="zh-CN"/>
              </w:rPr>
              <w:t>.其他</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3988" w:type="dxa"/>
            <w:gridSpan w:val="2"/>
            <w:tcBorders>
              <w:top w:val="single" w:color="auto" w:sz="4" w:space="0"/>
            </w:tcBorders>
            <w:noWrap w:val="0"/>
            <w:tcMar>
              <w:left w:w="108" w:type="dxa"/>
              <w:right w:w="108" w:type="dxa"/>
            </w:tcMar>
            <w:vAlign w:val="center"/>
          </w:tcPr>
          <w:p>
            <w:pPr>
              <w:jc w:val="left"/>
              <w:rPr>
                <w:rFonts w:hint="eastAsia" w:ascii="宋体" w:hAnsi="宋体" w:eastAsia="宋体" w:cs="宋体"/>
                <w:sz w:val="24"/>
                <w:szCs w:val="24"/>
              </w:rPr>
            </w:pPr>
            <w:r>
              <w:rPr>
                <w:rFonts w:hint="eastAsia" w:ascii="宋体" w:hAnsi="宋体" w:eastAsia="宋体" w:cs="宋体"/>
                <w:sz w:val="24"/>
                <w:szCs w:val="24"/>
              </w:rPr>
              <w:t>（七）总计</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35" w:type="dxa"/>
            <w:gridSpan w:val="3"/>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四、结转下年度继续办理</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6"/>
        <w:tblW w:w="9058"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525"/>
        <w:gridCol w:w="542"/>
        <w:gridCol w:w="525"/>
        <w:gridCol w:w="598"/>
        <w:gridCol w:w="607"/>
        <w:gridCol w:w="558"/>
        <w:gridCol w:w="687"/>
        <w:gridCol w:w="591"/>
        <w:gridCol w:w="721"/>
        <w:gridCol w:w="687"/>
        <w:gridCol w:w="638"/>
        <w:gridCol w:w="638"/>
        <w:gridCol w:w="638"/>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2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行政复议</w:t>
            </w:r>
          </w:p>
        </w:tc>
        <w:tc>
          <w:tcPr>
            <w:tcW w:w="6336"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5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9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计</w:t>
            </w:r>
          </w:p>
        </w:tc>
        <w:tc>
          <w:tcPr>
            <w:tcW w:w="31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未经复议直接起诉</w:t>
            </w:r>
          </w:p>
        </w:tc>
        <w:tc>
          <w:tcPr>
            <w:tcW w:w="317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9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val="en-US" w:eastAsia="zh-CN" w:bidi="ar"/>
              </w:rPr>
            </w:pPr>
            <w:r>
              <w:rPr>
                <w:rFonts w:hint="eastAsia" w:ascii="黑体" w:hAnsi="黑体" w:eastAsia="黑体" w:cs="黑体"/>
                <w:kern w:val="0"/>
                <w:sz w:val="24"/>
                <w:lang w:bidi="ar"/>
              </w:rPr>
              <w:t>总</w:t>
            </w:r>
            <w:r>
              <w:rPr>
                <w:rFonts w:hint="eastAsia" w:ascii="黑体" w:hAnsi="黑体" w:eastAsia="黑体" w:cs="黑体"/>
                <w:kern w:val="0"/>
                <w:sz w:val="24"/>
                <w:lang w:val="en-US" w:eastAsia="zh-CN" w:bidi="ar"/>
              </w:rPr>
              <w:t xml:space="preserve"> </w:t>
            </w:r>
            <w:r>
              <w:rPr>
                <w:rFonts w:hint="eastAsia" w:ascii="黑体" w:hAnsi="黑体" w:eastAsia="黑体" w:cs="黑体"/>
                <w:kern w:val="0"/>
                <w:sz w:val="24"/>
                <w:lang w:bidi="ar"/>
              </w:rPr>
              <w:t>计</w:t>
            </w:r>
            <w:r>
              <w:rPr>
                <w:rFonts w:hint="eastAsia" w:ascii="黑体" w:hAnsi="黑体" w:eastAsia="黑体" w:cs="黑体"/>
                <w:kern w:val="0"/>
                <w:sz w:val="24"/>
                <w:lang w:val="en-US" w:eastAsia="zh-CN" w:bidi="ar"/>
              </w:rPr>
              <w:t xml:space="preserve">   </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1</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1</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highlight w:val="none"/>
                <w:lang w:val="en-US" w:eastAsia="zh-CN" w:bidi="ar"/>
              </w:rPr>
            </w:pPr>
            <w:r>
              <w:rPr>
                <w:rFonts w:hint="eastAsia" w:ascii="宋体" w:hAnsi="宋体" w:cs="宋体"/>
                <w:kern w:val="0"/>
                <w:sz w:val="24"/>
                <w:highlight w:val="none"/>
                <w:lang w:val="en-US" w:eastAsia="zh-CN" w:bidi="ar"/>
              </w:rPr>
              <w:t>2</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r>
    </w:tbl>
    <w:p>
      <w:pPr>
        <w:spacing w:line="560" w:lineRule="exact"/>
        <w:ind w:firstLine="636" w:firstLineChars="199"/>
        <w:rPr>
          <w:rFonts w:hint="eastAsia" w:ascii="仿宋_GB2312" w:hAnsi="仿宋_GB2312" w:eastAsia="仿宋_GB2312" w:cs="仿宋_GB2312"/>
          <w:sz w:val="32"/>
          <w:szCs w:val="32"/>
        </w:rPr>
      </w:pPr>
      <w:r>
        <w:rPr>
          <w:rFonts w:hint="eastAsia" w:ascii="黑体" w:hAnsi="黑体" w:eastAsia="黑体" w:cs="宋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2024年额敏县住建局政府信息公开工作取得了一定进展但还是存在以下问题：一是</w:t>
      </w:r>
      <w:r>
        <w:rPr>
          <w:rFonts w:hint="eastAsia" w:ascii="仿宋_GB2312" w:hAnsi="仿宋_GB2312" w:eastAsia="仿宋_GB2312" w:cs="仿宋_GB2312"/>
          <w:sz w:val="32"/>
          <w:szCs w:val="32"/>
        </w:rPr>
        <w:t>公示内容比较单一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二是政府信息公开工作重视程度亟需加强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虽然各部门安排专人负责政府信息公开工作，但部分科室对政府信息内容提供，不够主动，导致政府信息公开不及时。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针对存在的问题额敏县住建局将从以下几个方面进行</w:t>
      </w:r>
      <w:r>
        <w:rPr>
          <w:rFonts w:hint="eastAsia" w:ascii="仿宋_GB2312" w:hAnsi="仿宋_GB2312" w:eastAsia="仿宋_GB2312" w:cs="仿宋_GB2312"/>
          <w:sz w:val="32"/>
          <w:szCs w:val="32"/>
        </w:rPr>
        <w:t>改进。一是加强《中华人民共和国政府信息公开条例》的学习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组织住建系统全体干部职工学习政府信息公开工作的基本精神和主要内容，使各部门和机关干部深刻认识推行政府信息公开工作的重大意义，增强积极推进政府信息公开工作的使命感和责任感。二是加大培训力度，重点加强干部职工对行政审批、政许可、行政处罚等相关法律、法规、规定的学习，提高干部依法行政的准确性。三是加大政府信息公开工作力度，坚持及时公布和更新信息，对上传材料认真审核，严把法律关、政策关、文字关和保密关，确保政府信息公开工作及时、准确、规范。</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本机关按照《国务院办公厅关于印发&lt;政府信息公开信息处理费管理办法&gt;的通知》（国办函〔2020〕109号）规定的按件、按量收费标准，本年度未产生信息公开处理费。</w:t>
      </w:r>
    </w:p>
    <w:p>
      <w:pPr>
        <w:spacing w:line="560" w:lineRule="exact"/>
        <w:ind w:firstLine="636" w:firstLineChars="199"/>
        <w:rPr>
          <w:rFonts w:hint="eastAsia" w:ascii="仿宋_GB2312" w:hAnsi="仿宋_GB2312" w:eastAsia="仿宋_GB2312" w:cs="仿宋_GB2312"/>
          <w:i w:val="0"/>
          <w:iCs w:val="0"/>
          <w:caps w:val="0"/>
          <w:color w:val="000000"/>
          <w:spacing w:val="0"/>
          <w:sz w:val="32"/>
          <w:szCs w:val="32"/>
          <w:shd w:val="clear" w:color="auto" w:fill="FFFFFF"/>
        </w:rPr>
      </w:pPr>
    </w:p>
    <w:p>
      <w:pPr>
        <w:spacing w:line="560" w:lineRule="exact"/>
        <w:ind w:firstLine="636" w:firstLineChars="199"/>
        <w:rPr>
          <w:rFonts w:hint="eastAsia" w:ascii="仿宋_GB2312" w:hAnsi="仿宋_GB2312" w:eastAsia="仿宋_GB2312" w:cs="仿宋_GB2312"/>
          <w:i w:val="0"/>
          <w:iCs w:val="0"/>
          <w:caps w:val="0"/>
          <w:color w:val="000000"/>
          <w:spacing w:val="0"/>
          <w:sz w:val="32"/>
          <w:szCs w:val="32"/>
          <w:shd w:val="clear" w:color="auto" w:fill="FFFFFF"/>
        </w:rPr>
      </w:pPr>
    </w:p>
    <w:p>
      <w:pPr>
        <w:spacing w:line="560" w:lineRule="exact"/>
        <w:ind w:firstLine="636" w:firstLineChars="199"/>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额敏县住房和城乡建设局</w:t>
      </w:r>
    </w:p>
    <w:p>
      <w:pPr>
        <w:spacing w:line="560" w:lineRule="exact"/>
        <w:ind w:firstLine="636" w:firstLineChars="199"/>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2025年2月17日</w:t>
      </w:r>
    </w:p>
    <w:sectPr>
      <w:footerReference r:id="rId3" w:type="default"/>
      <w:pgSz w:w="11906" w:h="16838"/>
      <w:pgMar w:top="1984" w:right="1531" w:bottom="1701" w:left="1531" w:header="851" w:footer="1417" w:gutter="0"/>
      <w:paperSrc/>
      <w:pgNumType w:fmt="decimal" w:start="4"/>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A009A"/>
    <w:rsid w:val="05230746"/>
    <w:rsid w:val="07256B87"/>
    <w:rsid w:val="08994575"/>
    <w:rsid w:val="0AAC1797"/>
    <w:rsid w:val="0DBE5485"/>
    <w:rsid w:val="0FB1274A"/>
    <w:rsid w:val="0FB1ED13"/>
    <w:rsid w:val="15FB8EA7"/>
    <w:rsid w:val="160350BA"/>
    <w:rsid w:val="17F90D9B"/>
    <w:rsid w:val="1B1C56FC"/>
    <w:rsid w:val="1B720B9B"/>
    <w:rsid w:val="1BF9075A"/>
    <w:rsid w:val="1D577EA2"/>
    <w:rsid w:val="1DBDFBC9"/>
    <w:rsid w:val="1FDB8C67"/>
    <w:rsid w:val="23BF4BD8"/>
    <w:rsid w:val="24D27693"/>
    <w:rsid w:val="267E7198"/>
    <w:rsid w:val="26AF24F1"/>
    <w:rsid w:val="299D5FE5"/>
    <w:rsid w:val="2A867572"/>
    <w:rsid w:val="2DBFBC40"/>
    <w:rsid w:val="2DFDE716"/>
    <w:rsid w:val="2E7B3A54"/>
    <w:rsid w:val="2F6DEC47"/>
    <w:rsid w:val="2FDF01AE"/>
    <w:rsid w:val="2FF4864B"/>
    <w:rsid w:val="2FFB22A4"/>
    <w:rsid w:val="31CE35DE"/>
    <w:rsid w:val="31FE2C68"/>
    <w:rsid w:val="33476133"/>
    <w:rsid w:val="33D714C0"/>
    <w:rsid w:val="34BBC352"/>
    <w:rsid w:val="35FD630A"/>
    <w:rsid w:val="369EAFAC"/>
    <w:rsid w:val="37C30999"/>
    <w:rsid w:val="37E6ECC8"/>
    <w:rsid w:val="37FFDA62"/>
    <w:rsid w:val="3AFF2EE8"/>
    <w:rsid w:val="3BDABEC6"/>
    <w:rsid w:val="3BF54923"/>
    <w:rsid w:val="3BFF17F9"/>
    <w:rsid w:val="3D7F7DD5"/>
    <w:rsid w:val="3DFE6730"/>
    <w:rsid w:val="3DFF1F5B"/>
    <w:rsid w:val="3EAB0813"/>
    <w:rsid w:val="3ECDB389"/>
    <w:rsid w:val="3F9713AE"/>
    <w:rsid w:val="3FBE452B"/>
    <w:rsid w:val="42F11550"/>
    <w:rsid w:val="45FF8569"/>
    <w:rsid w:val="495FD348"/>
    <w:rsid w:val="4AFE2542"/>
    <w:rsid w:val="4B476D29"/>
    <w:rsid w:val="4DF5448C"/>
    <w:rsid w:val="4E5D3FAD"/>
    <w:rsid w:val="4EA149CE"/>
    <w:rsid w:val="4ED3CC05"/>
    <w:rsid w:val="4EE7823E"/>
    <w:rsid w:val="4F7F0F6C"/>
    <w:rsid w:val="4F975051"/>
    <w:rsid w:val="4FDF4AA0"/>
    <w:rsid w:val="50635671"/>
    <w:rsid w:val="527D6817"/>
    <w:rsid w:val="5396735A"/>
    <w:rsid w:val="53FDAC02"/>
    <w:rsid w:val="53FFBDEB"/>
    <w:rsid w:val="54BF66A9"/>
    <w:rsid w:val="55FE89AF"/>
    <w:rsid w:val="569BCBE4"/>
    <w:rsid w:val="56A32E72"/>
    <w:rsid w:val="56F75819"/>
    <w:rsid w:val="573D23C5"/>
    <w:rsid w:val="57ABD0BC"/>
    <w:rsid w:val="58390AD7"/>
    <w:rsid w:val="58754FE5"/>
    <w:rsid w:val="588F9D8D"/>
    <w:rsid w:val="5AFEA431"/>
    <w:rsid w:val="5B0F0C9E"/>
    <w:rsid w:val="5BDBA9BF"/>
    <w:rsid w:val="5C523E73"/>
    <w:rsid w:val="5CA772BC"/>
    <w:rsid w:val="5D3EFB57"/>
    <w:rsid w:val="5DB52F95"/>
    <w:rsid w:val="5DEA2796"/>
    <w:rsid w:val="5E77C89D"/>
    <w:rsid w:val="5EDFBC86"/>
    <w:rsid w:val="5EEE0E0E"/>
    <w:rsid w:val="5EFFF25A"/>
    <w:rsid w:val="5F5B3921"/>
    <w:rsid w:val="5FBD29CB"/>
    <w:rsid w:val="5FBF7A07"/>
    <w:rsid w:val="5FEB1AE1"/>
    <w:rsid w:val="5FFFB2CA"/>
    <w:rsid w:val="612C491C"/>
    <w:rsid w:val="62664C07"/>
    <w:rsid w:val="63EB0F43"/>
    <w:rsid w:val="63F51A12"/>
    <w:rsid w:val="666F524E"/>
    <w:rsid w:val="67FC9BDC"/>
    <w:rsid w:val="69C253C8"/>
    <w:rsid w:val="69FECB58"/>
    <w:rsid w:val="6A502537"/>
    <w:rsid w:val="6ADF26F4"/>
    <w:rsid w:val="6AED14C4"/>
    <w:rsid w:val="6BF7ACEA"/>
    <w:rsid w:val="6BFE896C"/>
    <w:rsid w:val="6D3E722E"/>
    <w:rsid w:val="6EE57227"/>
    <w:rsid w:val="6EEFE970"/>
    <w:rsid w:val="6EFE2D9F"/>
    <w:rsid w:val="6FC14297"/>
    <w:rsid w:val="6FDF5FD4"/>
    <w:rsid w:val="6FF96D33"/>
    <w:rsid w:val="703C5AB3"/>
    <w:rsid w:val="73BF1F48"/>
    <w:rsid w:val="73FA93CF"/>
    <w:rsid w:val="73FB804A"/>
    <w:rsid w:val="74772C9E"/>
    <w:rsid w:val="74F23B75"/>
    <w:rsid w:val="75B7F74D"/>
    <w:rsid w:val="76B785F1"/>
    <w:rsid w:val="77405811"/>
    <w:rsid w:val="774E65D4"/>
    <w:rsid w:val="77D970E5"/>
    <w:rsid w:val="77DFF527"/>
    <w:rsid w:val="77FC4B6E"/>
    <w:rsid w:val="77FD1A6A"/>
    <w:rsid w:val="77FF625D"/>
    <w:rsid w:val="7A5F28C2"/>
    <w:rsid w:val="7AFF576F"/>
    <w:rsid w:val="7AFFB878"/>
    <w:rsid w:val="7B7708EE"/>
    <w:rsid w:val="7BC6063A"/>
    <w:rsid w:val="7BCFBD38"/>
    <w:rsid w:val="7BF2FDC5"/>
    <w:rsid w:val="7BFC57ED"/>
    <w:rsid w:val="7BFF4374"/>
    <w:rsid w:val="7C1776A1"/>
    <w:rsid w:val="7C96545E"/>
    <w:rsid w:val="7D4F3E3E"/>
    <w:rsid w:val="7D5FEFA5"/>
    <w:rsid w:val="7D6CD867"/>
    <w:rsid w:val="7D764056"/>
    <w:rsid w:val="7D7DBA64"/>
    <w:rsid w:val="7D9FC4D8"/>
    <w:rsid w:val="7DE63D64"/>
    <w:rsid w:val="7DFED623"/>
    <w:rsid w:val="7DFF4180"/>
    <w:rsid w:val="7E7538F9"/>
    <w:rsid w:val="7EB8C56E"/>
    <w:rsid w:val="7EB928EB"/>
    <w:rsid w:val="7EBFF697"/>
    <w:rsid w:val="7EFC0E7B"/>
    <w:rsid w:val="7EFC9B8D"/>
    <w:rsid w:val="7EFE4EAD"/>
    <w:rsid w:val="7EFF7404"/>
    <w:rsid w:val="7EFFC735"/>
    <w:rsid w:val="7F50710A"/>
    <w:rsid w:val="7F6F1D4B"/>
    <w:rsid w:val="7F748D63"/>
    <w:rsid w:val="7F77B9DA"/>
    <w:rsid w:val="7F9F6549"/>
    <w:rsid w:val="7FAF5D99"/>
    <w:rsid w:val="7FB47235"/>
    <w:rsid w:val="7FBEEAAC"/>
    <w:rsid w:val="7FBFA13F"/>
    <w:rsid w:val="7FCBBEBA"/>
    <w:rsid w:val="7FEEAFD2"/>
    <w:rsid w:val="7FEF8F94"/>
    <w:rsid w:val="7FEFDD07"/>
    <w:rsid w:val="7FF07130"/>
    <w:rsid w:val="7FF99BD5"/>
    <w:rsid w:val="7FF9F85E"/>
    <w:rsid w:val="7FFB59C1"/>
    <w:rsid w:val="7FFE0B86"/>
    <w:rsid w:val="7FFF7799"/>
    <w:rsid w:val="7FFF8484"/>
    <w:rsid w:val="7FFFEEE5"/>
    <w:rsid w:val="8BFEFC87"/>
    <w:rsid w:val="90FBB6AE"/>
    <w:rsid w:val="92DDA34E"/>
    <w:rsid w:val="93FCA4F3"/>
    <w:rsid w:val="96FD0614"/>
    <w:rsid w:val="9BFF7797"/>
    <w:rsid w:val="9E4E6617"/>
    <w:rsid w:val="9EC78753"/>
    <w:rsid w:val="9FAAAD1E"/>
    <w:rsid w:val="9FAD36FF"/>
    <w:rsid w:val="9FBFF697"/>
    <w:rsid w:val="9FFA9AFD"/>
    <w:rsid w:val="9FFB8AD4"/>
    <w:rsid w:val="A7F51AF6"/>
    <w:rsid w:val="A7FEB3B1"/>
    <w:rsid w:val="AAFF459F"/>
    <w:rsid w:val="ABEE8AF0"/>
    <w:rsid w:val="ADDE413E"/>
    <w:rsid w:val="ADFF1E01"/>
    <w:rsid w:val="B8DCC92C"/>
    <w:rsid w:val="BAB13A0D"/>
    <w:rsid w:val="BBD77E1F"/>
    <w:rsid w:val="BBEFE269"/>
    <w:rsid w:val="BBFBA881"/>
    <w:rsid w:val="BCF75867"/>
    <w:rsid w:val="BCFF9D6E"/>
    <w:rsid w:val="BD1BC2C7"/>
    <w:rsid w:val="BD7690B0"/>
    <w:rsid w:val="BDBFA14F"/>
    <w:rsid w:val="BDEEC5E1"/>
    <w:rsid w:val="BEF34AD8"/>
    <w:rsid w:val="BEF3D2E6"/>
    <w:rsid w:val="BEFFB7D0"/>
    <w:rsid w:val="BF22C904"/>
    <w:rsid w:val="BF3BD795"/>
    <w:rsid w:val="BFDF0F8C"/>
    <w:rsid w:val="BFEF4541"/>
    <w:rsid w:val="BFF7D9D8"/>
    <w:rsid w:val="BFFA78D4"/>
    <w:rsid w:val="BFFC642A"/>
    <w:rsid w:val="C67B7F41"/>
    <w:rsid w:val="C6FF2F6B"/>
    <w:rsid w:val="CB340FF9"/>
    <w:rsid w:val="CBFFFECB"/>
    <w:rsid w:val="CF5F3C76"/>
    <w:rsid w:val="CFC37AE3"/>
    <w:rsid w:val="CFCF4378"/>
    <w:rsid w:val="CFEF33B0"/>
    <w:rsid w:val="CFF65123"/>
    <w:rsid w:val="CFF8DECE"/>
    <w:rsid w:val="D73AD7DC"/>
    <w:rsid w:val="DAF7B794"/>
    <w:rsid w:val="DCFFC7DA"/>
    <w:rsid w:val="DD27EE3C"/>
    <w:rsid w:val="DDBA4366"/>
    <w:rsid w:val="DDFBF5DC"/>
    <w:rsid w:val="DE11FC53"/>
    <w:rsid w:val="DE6F9D4D"/>
    <w:rsid w:val="DE7D17E3"/>
    <w:rsid w:val="DE7FE1BC"/>
    <w:rsid w:val="DEBF8F76"/>
    <w:rsid w:val="DF7ED54A"/>
    <w:rsid w:val="DF97DC17"/>
    <w:rsid w:val="DFBDD0B0"/>
    <w:rsid w:val="DFC35436"/>
    <w:rsid w:val="DFCBD6AE"/>
    <w:rsid w:val="DFD7763D"/>
    <w:rsid w:val="DFD96B7E"/>
    <w:rsid w:val="DFEDC74E"/>
    <w:rsid w:val="DFF55861"/>
    <w:rsid w:val="DFF69220"/>
    <w:rsid w:val="DFF6FC90"/>
    <w:rsid w:val="DFFE273C"/>
    <w:rsid w:val="DFFF4100"/>
    <w:rsid w:val="E3379851"/>
    <w:rsid w:val="E3BDB839"/>
    <w:rsid w:val="E4FFDC32"/>
    <w:rsid w:val="E53B485A"/>
    <w:rsid w:val="E5B7C707"/>
    <w:rsid w:val="E657A35C"/>
    <w:rsid w:val="E65DCF39"/>
    <w:rsid w:val="E7B66ED8"/>
    <w:rsid w:val="E7FBEB55"/>
    <w:rsid w:val="E9FEA61A"/>
    <w:rsid w:val="EB76D68E"/>
    <w:rsid w:val="EBB9FF58"/>
    <w:rsid w:val="EBF6182D"/>
    <w:rsid w:val="EBFFD9A2"/>
    <w:rsid w:val="EC6DDFA3"/>
    <w:rsid w:val="ECF73D77"/>
    <w:rsid w:val="EDFE06ED"/>
    <w:rsid w:val="EDFE3535"/>
    <w:rsid w:val="EDFFB8CE"/>
    <w:rsid w:val="EE7BDC30"/>
    <w:rsid w:val="EEE94709"/>
    <w:rsid w:val="EF5BEFA1"/>
    <w:rsid w:val="EFF11AC6"/>
    <w:rsid w:val="F0D74422"/>
    <w:rsid w:val="F1FF93C6"/>
    <w:rsid w:val="F2F7A314"/>
    <w:rsid w:val="F33F86FA"/>
    <w:rsid w:val="F3EF72B4"/>
    <w:rsid w:val="F3F7F6FB"/>
    <w:rsid w:val="F551BBA4"/>
    <w:rsid w:val="F55F552F"/>
    <w:rsid w:val="F56FE98B"/>
    <w:rsid w:val="F5F7AECF"/>
    <w:rsid w:val="F5FB699F"/>
    <w:rsid w:val="F67B4ABB"/>
    <w:rsid w:val="F6FD0327"/>
    <w:rsid w:val="F73FD98A"/>
    <w:rsid w:val="F785B677"/>
    <w:rsid w:val="F79BFADD"/>
    <w:rsid w:val="F7ADB44B"/>
    <w:rsid w:val="F7BB17D9"/>
    <w:rsid w:val="F7E773A7"/>
    <w:rsid w:val="F7F3D891"/>
    <w:rsid w:val="F7FD181E"/>
    <w:rsid w:val="F7FF56AE"/>
    <w:rsid w:val="F7FFBA43"/>
    <w:rsid w:val="F8E0F921"/>
    <w:rsid w:val="F8F0B3C6"/>
    <w:rsid w:val="F92C20D0"/>
    <w:rsid w:val="F9739605"/>
    <w:rsid w:val="F9BD7614"/>
    <w:rsid w:val="F9EBAEDB"/>
    <w:rsid w:val="FABF459C"/>
    <w:rsid w:val="FB317F09"/>
    <w:rsid w:val="FB753F9B"/>
    <w:rsid w:val="FBE7BA79"/>
    <w:rsid w:val="FBFB0BCD"/>
    <w:rsid w:val="FBFBF127"/>
    <w:rsid w:val="FBFE39B7"/>
    <w:rsid w:val="FCF183EF"/>
    <w:rsid w:val="FCF7EE51"/>
    <w:rsid w:val="FD7E4A48"/>
    <w:rsid w:val="FD9AA252"/>
    <w:rsid w:val="FDDD7FF3"/>
    <w:rsid w:val="FDDE23EF"/>
    <w:rsid w:val="FDE67FF7"/>
    <w:rsid w:val="FDF7108F"/>
    <w:rsid w:val="FDF74333"/>
    <w:rsid w:val="FDFD28B8"/>
    <w:rsid w:val="FEDF64A3"/>
    <w:rsid w:val="FEEFA244"/>
    <w:rsid w:val="FF07AA46"/>
    <w:rsid w:val="FF1FB1C8"/>
    <w:rsid w:val="FF2EF43B"/>
    <w:rsid w:val="FF3DCC43"/>
    <w:rsid w:val="FF6D16D2"/>
    <w:rsid w:val="FF720985"/>
    <w:rsid w:val="FF7A362E"/>
    <w:rsid w:val="FFAB512A"/>
    <w:rsid w:val="FFAD8402"/>
    <w:rsid w:val="FFAEAFBB"/>
    <w:rsid w:val="FFAF1D94"/>
    <w:rsid w:val="FFB5A8F6"/>
    <w:rsid w:val="FFB6D1BE"/>
    <w:rsid w:val="FFBDBCE1"/>
    <w:rsid w:val="FFCFD87C"/>
    <w:rsid w:val="FFD53D7A"/>
    <w:rsid w:val="FFD5CBD3"/>
    <w:rsid w:val="FFDCB75F"/>
    <w:rsid w:val="FFDFEDDF"/>
    <w:rsid w:val="FFEBA0D9"/>
    <w:rsid w:val="FFEFDF93"/>
    <w:rsid w:val="FFF68358"/>
    <w:rsid w:val="FFFC32AE"/>
    <w:rsid w:val="FFFF5553"/>
    <w:rsid w:val="FFFFB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2025-02-19T03:18:39Z</cp:lastPrinted>
  <dcterms:modified xsi:type="dcterms:W3CDTF">2025-02-20T04:45:08Z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B35D36AC452346108FD0998C149FAB5D</vt:lpwstr>
  </property>
</Properties>
</file>