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right="0" w:rightChars="0" w:firstLine="0" w:firstLineChars="0"/>
        <w:jc w:val="center"/>
        <w:rPr>
          <w:rFonts w:hint="default"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额敏县</w:t>
      </w:r>
      <w:r>
        <w:rPr>
          <w:rFonts w:hint="default" w:ascii="方正小标宋简体" w:hAnsi="方正小标宋简体" w:eastAsia="方正小标宋简体" w:cs="方正小标宋简体"/>
          <w:b w:val="0"/>
          <w:bCs w:val="0"/>
          <w:sz w:val="44"/>
          <w:szCs w:val="44"/>
          <w:lang w:val="en-US" w:eastAsia="zh-CN"/>
        </w:rPr>
        <w:t>人社局202</w:t>
      </w:r>
      <w:r>
        <w:rPr>
          <w:rFonts w:hint="eastAsia" w:ascii="方正小标宋简体" w:hAnsi="方正小标宋简体" w:eastAsia="方正小标宋简体" w:cs="方正小标宋简体"/>
          <w:b w:val="0"/>
          <w:bCs w:val="0"/>
          <w:sz w:val="44"/>
          <w:szCs w:val="44"/>
          <w:lang w:val="en-US" w:eastAsia="zh-CN"/>
        </w:rPr>
        <w:t>4</w:t>
      </w:r>
      <w:r>
        <w:rPr>
          <w:rFonts w:hint="default" w:ascii="方正小标宋简体" w:hAnsi="方正小标宋简体" w:eastAsia="方正小标宋简体" w:cs="方正小标宋简体"/>
          <w:b w:val="0"/>
          <w:bCs w:val="0"/>
          <w:sz w:val="44"/>
          <w:szCs w:val="44"/>
          <w:lang w:val="en-US" w:eastAsia="zh-CN"/>
        </w:rPr>
        <w:t>年政府信息公开工作年度报告</w:t>
      </w:r>
    </w:p>
    <w:p>
      <w:pPr>
        <w:jc w:val="both"/>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本报告</w:t>
      </w:r>
      <w:r>
        <w:rPr>
          <w:rFonts w:hint="default" w:ascii="仿宋_GB2312" w:hAnsi="宋体" w:eastAsia="仿宋_GB2312" w:cs="宋体"/>
          <w:sz w:val="32"/>
          <w:szCs w:val="32"/>
          <w:lang w:val="en-US" w:eastAsia="zh-CN"/>
        </w:rPr>
        <w:t>根据</w:t>
      </w:r>
      <w:r>
        <w:rPr>
          <w:rFonts w:hint="eastAsia" w:ascii="仿宋_GB2312" w:hAnsi="宋体" w:eastAsia="仿宋_GB2312" w:cs="宋体"/>
          <w:sz w:val="32"/>
          <w:szCs w:val="32"/>
          <w:lang w:val="en-US" w:eastAsia="zh-CN"/>
        </w:rPr>
        <w:t>《中华人民共和国政府信息公开条例》（国务院令第711号）、《关于印发&lt;中华人民共和国政府信息公开工作年度报告格式&gt;的通知》（国办公开办函[2021]30号）、地区《关于做好2024年度政府信息公开工作年度报告编制发布工作的通知》要求编制。报告全文包括总体情况、主动公开政府信息情况、收到和处理政府信息公开申请情况、因政府信息公开工作被申请行政复议和提起行政诉讼情况、政府信息公开工作存在的主要问题及改进情况，以及其他需要报告的事项六个部分。报告统计期限为2024年1月1日至2024年12月31日。如对本报告有疑问，请与额敏县人力资源和社会保障局办公室联系（地址：额敏县规划十一路；邮编834600：电话及传真：0901-3343022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sz w:val="32"/>
          <w:szCs w:val="32"/>
          <w:highlight w:val="none"/>
          <w:lang w:val="en-US" w:eastAsia="zh-CN"/>
        </w:rPr>
      </w:pPr>
      <w:r>
        <w:rPr>
          <w:rFonts w:hint="eastAsia" w:ascii="仿宋_GB2312" w:hAnsi="宋体" w:eastAsia="仿宋_GB2312" w:cs="宋体"/>
          <w:sz w:val="32"/>
          <w:szCs w:val="32"/>
          <w:lang w:val="en-US" w:eastAsia="zh-CN"/>
        </w:rPr>
        <w:t>2024年，</w:t>
      </w:r>
      <w:r>
        <w:rPr>
          <w:rFonts w:hint="eastAsia" w:ascii="仿宋_GB2312" w:hAnsi="宋体" w:eastAsia="仿宋_GB2312" w:cs="宋体"/>
          <w:sz w:val="32"/>
          <w:szCs w:val="32"/>
          <w:highlight w:val="none"/>
          <w:lang w:val="en-US" w:eastAsia="zh-CN"/>
        </w:rPr>
        <w:t>额敏县人力资源和社会保障局</w:t>
      </w:r>
      <w:r>
        <w:rPr>
          <w:rFonts w:hint="eastAsia" w:ascii="仿宋_GB2312" w:hAnsi="宋体" w:eastAsia="仿宋_GB2312" w:cs="宋体"/>
          <w:sz w:val="32"/>
          <w:szCs w:val="32"/>
          <w:lang w:val="en-US" w:eastAsia="zh-CN"/>
        </w:rPr>
        <w:t>认真贯彻落实《中华人民共和国政府信息公开条例》以及自治区、地区、县委县政府相关规定，扎实做好政府信息公开工作，紧紧围绕人社中心工作和群众关注关切问题，坚决把政务公开作为一项重点工作来抓，切实加强组织领导，及时、规范公开本部门政务信息，全面推进政务公开标准化、规范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sz w:val="32"/>
          <w:szCs w:val="32"/>
          <w:lang w:val="en-US" w:eastAsia="zh-CN"/>
        </w:rPr>
      </w:pPr>
      <w:r>
        <w:rPr>
          <w:rFonts w:hint="eastAsia" w:ascii="楷体_GB2312" w:hAnsi="楷体_GB2312" w:eastAsia="楷体_GB2312" w:cs="楷体_GB2312"/>
          <w:b/>
          <w:bCs/>
          <w:sz w:val="32"/>
          <w:szCs w:val="32"/>
          <w:highlight w:val="none"/>
          <w:lang w:val="en-US" w:eastAsia="zh-CN"/>
        </w:rPr>
        <w:t>（一）主动公开方面。</w:t>
      </w:r>
      <w:r>
        <w:rPr>
          <w:rFonts w:hint="eastAsia" w:ascii="仿宋_GB2312" w:hAnsi="宋体" w:eastAsia="仿宋_GB2312" w:cs="宋体"/>
          <w:sz w:val="32"/>
          <w:szCs w:val="32"/>
          <w:highlight w:val="none"/>
          <w:lang w:val="en-US" w:eastAsia="zh-CN"/>
        </w:rPr>
        <w:t>2024年，额敏县人力资源和社会保障局在额敏县政府信息公开网上发布和更新信息21条，其中包括：公示2条，文件1条，人事招录5条，社会保障7条，稳岗就业4条，社会保险1条，社保办事结果1条。额敏县人力资源和社会保障局微信公众号累计发布246条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sz w:val="32"/>
          <w:szCs w:val="32"/>
          <w:highlight w:val="none"/>
          <w:lang w:val="en-US" w:eastAsia="zh-CN"/>
        </w:rPr>
      </w:pPr>
      <w:r>
        <w:rPr>
          <w:rFonts w:hint="eastAsia" w:ascii="楷体_GB2312" w:hAnsi="楷体_GB2312" w:eastAsia="楷体_GB2312" w:cs="楷体_GB2312"/>
          <w:b/>
          <w:bCs/>
          <w:sz w:val="32"/>
          <w:szCs w:val="32"/>
          <w:lang w:val="en-US" w:eastAsia="zh-CN"/>
        </w:rPr>
        <w:t>（二）依申请公开方面。</w:t>
      </w:r>
      <w:r>
        <w:rPr>
          <w:rFonts w:hint="eastAsia" w:ascii="仿宋_GB2312" w:hAnsi="宋体" w:eastAsia="仿宋_GB2312" w:cs="宋体"/>
          <w:sz w:val="32"/>
          <w:szCs w:val="32"/>
          <w:highlight w:val="none"/>
          <w:lang w:val="en-US" w:eastAsia="zh-CN"/>
        </w:rPr>
        <w:t>2024年</w:t>
      </w:r>
      <w:r>
        <w:rPr>
          <w:rFonts w:hint="eastAsia" w:ascii="仿宋_GB2312" w:hAnsi="宋体" w:eastAsia="仿宋_GB2312" w:cs="宋体"/>
          <w:sz w:val="32"/>
          <w:szCs w:val="32"/>
          <w:lang w:val="en-US" w:eastAsia="zh-CN"/>
        </w:rPr>
        <w:t>额敏县人社局</w:t>
      </w:r>
      <w:r>
        <w:rPr>
          <w:rFonts w:hint="eastAsia" w:ascii="仿宋_GB2312" w:hAnsi="宋体" w:eastAsia="仿宋_GB2312" w:cs="宋体"/>
          <w:sz w:val="32"/>
          <w:szCs w:val="32"/>
          <w:highlight w:val="none"/>
          <w:lang w:val="en-US" w:eastAsia="zh-CN"/>
        </w:rPr>
        <w:t>未收到依申请公开及政府信息公开方面的行政复议和行政诉讼备案，未收到信息公开举报投诉案件。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sz w:val="32"/>
          <w:szCs w:val="32"/>
          <w:lang w:val="en-US" w:eastAsia="zh-CN"/>
        </w:rPr>
      </w:pPr>
      <w:r>
        <w:rPr>
          <w:rFonts w:hint="eastAsia" w:ascii="楷体_GB2312" w:hAnsi="楷体_GB2312" w:eastAsia="楷体_GB2312" w:cs="楷体_GB2312"/>
          <w:b/>
          <w:bCs/>
          <w:sz w:val="32"/>
          <w:szCs w:val="32"/>
          <w:lang w:val="en-US" w:eastAsia="zh-CN"/>
        </w:rPr>
        <w:t>（三）政府信息管理方面。</w:t>
      </w:r>
      <w:r>
        <w:rPr>
          <w:rFonts w:hint="eastAsia" w:ascii="仿宋_GB2312" w:hAnsi="宋体" w:eastAsia="仿宋_GB2312" w:cs="宋体"/>
          <w:sz w:val="32"/>
          <w:szCs w:val="32"/>
          <w:lang w:val="en-US" w:eastAsia="zh-CN"/>
        </w:rPr>
        <w:t>由办公室负责政府信息公开的日常工作，认真贯彻执行信息发布“三审三校”制度，按时完成政府信息公开目标任务进度，严格落实审核制度，严查公开内容是否符合规定、全面具体、及时更新，严格把控公开内容质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sz w:val="32"/>
          <w:szCs w:val="32"/>
          <w:lang w:val="en-US" w:eastAsia="zh-CN"/>
        </w:rPr>
      </w:pPr>
      <w:r>
        <w:rPr>
          <w:rFonts w:hint="eastAsia" w:ascii="楷体_GB2312" w:hAnsi="楷体_GB2312" w:eastAsia="楷体_GB2312" w:cs="楷体_GB2312"/>
          <w:b/>
          <w:bCs/>
          <w:sz w:val="32"/>
          <w:szCs w:val="32"/>
          <w:lang w:val="en-US" w:eastAsia="zh-CN"/>
        </w:rPr>
        <w:t>（四）政府信息公开平台建设方面。</w:t>
      </w:r>
      <w:r>
        <w:rPr>
          <w:rFonts w:hint="eastAsia" w:ascii="仿宋_GB2312" w:hAnsi="宋体" w:eastAsia="仿宋_GB2312" w:cs="宋体"/>
          <w:sz w:val="32"/>
          <w:szCs w:val="32"/>
          <w:lang w:val="en-US" w:eastAsia="zh-CN"/>
        </w:rPr>
        <w:t>及时提供文件、执行法规条例、人事招录、社会保障和职业资格目录清单等栏目内容，争取平台建设更上新台阶。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sz w:val="32"/>
          <w:szCs w:val="32"/>
          <w:lang w:val="en-US" w:eastAsia="zh-CN"/>
        </w:rPr>
      </w:pPr>
      <w:r>
        <w:rPr>
          <w:rFonts w:hint="eastAsia" w:ascii="楷体_GB2312" w:hAnsi="楷体_GB2312" w:eastAsia="楷体_GB2312" w:cs="楷体_GB2312"/>
          <w:b/>
          <w:bCs/>
          <w:sz w:val="32"/>
          <w:szCs w:val="32"/>
          <w:lang w:val="en-US" w:eastAsia="zh-CN"/>
        </w:rPr>
        <w:t>（五）监督保障方面。</w:t>
      </w:r>
      <w:r>
        <w:rPr>
          <w:rFonts w:hint="eastAsia" w:ascii="仿宋_GB2312" w:hAnsi="宋体" w:eastAsia="仿宋_GB2312" w:cs="宋体"/>
          <w:sz w:val="32"/>
          <w:szCs w:val="32"/>
          <w:lang w:val="en-US" w:eastAsia="zh-CN"/>
        </w:rPr>
        <w:t>发现问题立行立改，确保反馈问题消除，高度重视政务公开培训会契机学习沟通，提升政务公开办人员业务能力。</w:t>
      </w:r>
      <w:r>
        <w:rPr>
          <w:rFonts w:hint="eastAsia" w:ascii="仿宋_GB2312" w:hAnsi="宋体" w:eastAsia="仿宋_GB2312" w:cs="宋体"/>
          <w:sz w:val="32"/>
          <w:szCs w:val="32"/>
          <w:highlight w:val="none"/>
          <w:lang w:val="en-US" w:eastAsia="zh-CN"/>
        </w:rPr>
        <w:t>2024年</w:t>
      </w:r>
      <w:r>
        <w:rPr>
          <w:rFonts w:hint="eastAsia" w:ascii="仿宋_GB2312" w:hAnsi="宋体" w:eastAsia="仿宋_GB2312" w:cs="宋体"/>
          <w:sz w:val="32"/>
          <w:szCs w:val="32"/>
          <w:lang w:val="en-US" w:eastAsia="zh-CN"/>
        </w:rPr>
        <w:t>，未发生因不履行政务公开义务而被追究责任情况。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sz w:val="32"/>
          <w:szCs w:val="32"/>
        </w:rPr>
      </w:pPr>
      <w:r>
        <w:rPr>
          <w:rFonts w:hint="eastAsia" w:ascii="黑体" w:hAnsi="黑体" w:eastAsia="黑体" w:cs="宋体"/>
          <w:sz w:val="32"/>
          <w:szCs w:val="32"/>
        </w:rPr>
        <w:t>二、主动公开政府信息情况</w:t>
      </w:r>
    </w:p>
    <w:tbl>
      <w:tblPr>
        <w:tblStyle w:val="5"/>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2200"/>
        <w:gridCol w:w="1803"/>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本年制</w:t>
            </w:r>
            <w:r>
              <w:rPr>
                <w:rFonts w:hint="eastAsia" w:ascii="黑体" w:hAnsi="黑体" w:eastAsia="黑体" w:cs="黑体"/>
                <w:sz w:val="24"/>
                <w:szCs w:val="24"/>
                <w:lang w:eastAsia="zh-CN"/>
              </w:rPr>
              <w:t>发件数</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本年</w:t>
            </w:r>
            <w:r>
              <w:rPr>
                <w:rFonts w:hint="eastAsia" w:ascii="黑体" w:hAnsi="黑体" w:eastAsia="黑体" w:cs="黑体"/>
                <w:sz w:val="24"/>
                <w:szCs w:val="24"/>
                <w:lang w:eastAsia="zh-CN"/>
              </w:rPr>
              <w:t>废止件数</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规章</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规范性文件</w:t>
            </w:r>
          </w:p>
        </w:tc>
        <w:tc>
          <w:tcPr>
            <w:tcW w:w="2200"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1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c>
          <w:tcPr>
            <w:tcW w:w="2015"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行政许可</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行政处罚</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行政强制</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060" w:type="dxa"/>
            <w:gridSpan w:val="4"/>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信息内容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szCs w:val="24"/>
              </w:rPr>
            </w:pPr>
            <w:r>
              <w:rPr>
                <w:rFonts w:hint="eastAsia" w:ascii="黑体" w:hAnsi="黑体" w:eastAsia="黑体" w:cs="黑体"/>
                <w:sz w:val="24"/>
                <w:szCs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3042" w:type="dxa"/>
            <w:noWrap/>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 w:val="24"/>
                <w:szCs w:val="24"/>
              </w:rPr>
            </w:pPr>
            <w:r>
              <w:rPr>
                <w:rFonts w:hint="eastAsia"/>
                <w:sz w:val="24"/>
                <w:szCs w:val="24"/>
              </w:rPr>
              <w:t>行政事业性收费</w:t>
            </w:r>
          </w:p>
        </w:tc>
        <w:tc>
          <w:tcPr>
            <w:tcW w:w="6018" w:type="dxa"/>
            <w:gridSpan w:val="3"/>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sz w:val="24"/>
                <w:szCs w:val="24"/>
                <w:lang w:val="en-US" w:eastAsia="zh-CN"/>
              </w:rPr>
            </w:pPr>
            <w:r>
              <w:rPr>
                <w:rFonts w:hint="eastAsia"/>
                <w:sz w:val="24"/>
                <w:szCs w:val="24"/>
                <w:lang w:val="en-US" w:eastAsia="zh-CN"/>
              </w:rPr>
              <w:t>0</w:t>
            </w:r>
          </w:p>
        </w:tc>
      </w:tr>
    </w:tbl>
    <w:p>
      <w:pPr>
        <w:pStyle w:val="4"/>
        <w:widowControl/>
        <w:spacing w:before="0" w:beforeAutospacing="0" w:after="0" w:afterAutospacing="0" w:line="560" w:lineRule="exact"/>
        <w:ind w:firstLine="640" w:firstLineChars="200"/>
        <w:jc w:val="both"/>
        <w:rPr>
          <w:rFonts w:hint="eastAsia" w:ascii="黑体" w:hAnsi="黑体" w:eastAsia="黑体" w:cs="黑体"/>
          <w:sz w:val="32"/>
          <w:szCs w:val="30"/>
        </w:rPr>
      </w:pPr>
      <w:r>
        <w:rPr>
          <w:rFonts w:hint="eastAsia" w:ascii="黑体" w:hAnsi="黑体" w:eastAsia="黑体" w:cs="黑体"/>
          <w:sz w:val="32"/>
          <w:szCs w:val="30"/>
        </w:rPr>
        <w:t>三、收到和处理政府信息公开申请情况</w:t>
      </w:r>
    </w:p>
    <w:tbl>
      <w:tblPr>
        <w:tblStyle w:val="5"/>
        <w:tblW w:w="9055"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7"/>
        <w:gridCol w:w="1009"/>
        <w:gridCol w:w="2979"/>
        <w:gridCol w:w="491"/>
        <w:gridCol w:w="703"/>
        <w:gridCol w:w="703"/>
        <w:gridCol w:w="703"/>
        <w:gridCol w:w="703"/>
        <w:gridCol w:w="514"/>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（本列数据的勾稽关系为：第一项加第二项之和，等于第三项加第四项之和）</w:t>
            </w:r>
          </w:p>
        </w:tc>
        <w:tc>
          <w:tcPr>
            <w:tcW w:w="4320" w:type="dxa"/>
            <w:gridSpan w:val="7"/>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黑体" w:hAnsi="黑体" w:eastAsia="黑体" w:cs="黑体"/>
                <w:sz w:val="24"/>
                <w:szCs w:val="24"/>
              </w:rPr>
            </w:pPr>
          </w:p>
        </w:tc>
        <w:tc>
          <w:tcPr>
            <w:tcW w:w="491" w:type="dxa"/>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自然人</w:t>
            </w:r>
          </w:p>
        </w:tc>
        <w:tc>
          <w:tcPr>
            <w:tcW w:w="3326" w:type="dxa"/>
            <w:gridSpan w:val="5"/>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503" w:type="dxa"/>
            <w:vMerge w:val="restart"/>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35" w:type="dxa"/>
            <w:gridSpan w:val="3"/>
            <w:vMerge w:val="continue"/>
            <w:noWrap w:val="0"/>
            <w:tcMar>
              <w:left w:w="108" w:type="dxa"/>
              <w:right w:w="108" w:type="dxa"/>
            </w:tcMar>
            <w:vAlign w:val="center"/>
          </w:tcPr>
          <w:p>
            <w:pPr>
              <w:rPr>
                <w:rFonts w:hint="eastAsia" w:ascii="宋体" w:hAnsi="宋体" w:eastAsia="宋体" w:cs="宋体"/>
                <w:sz w:val="24"/>
                <w:szCs w:val="24"/>
              </w:rPr>
            </w:pPr>
          </w:p>
        </w:tc>
        <w:tc>
          <w:tcPr>
            <w:tcW w:w="491" w:type="dxa"/>
            <w:vMerge w:val="continue"/>
            <w:noWrap w:val="0"/>
            <w:tcMar>
              <w:left w:w="108" w:type="dxa"/>
              <w:right w:w="108" w:type="dxa"/>
            </w:tcMar>
            <w:vAlign w:val="center"/>
          </w:tcPr>
          <w:p>
            <w:pPr>
              <w:rPr>
                <w:rFonts w:hint="eastAsia" w:ascii="宋体" w:hAnsi="宋体" w:eastAsia="宋体" w:cs="宋体"/>
                <w:sz w:val="24"/>
                <w:szCs w:val="24"/>
              </w:rPr>
            </w:pP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商业企业</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科研机构</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社会公益组织</w:t>
            </w:r>
          </w:p>
        </w:tc>
        <w:tc>
          <w:tcPr>
            <w:tcW w:w="703"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法律服务机构</w:t>
            </w:r>
          </w:p>
        </w:tc>
        <w:tc>
          <w:tcPr>
            <w:tcW w:w="514" w:type="dxa"/>
            <w:noWrap w:val="0"/>
            <w:tcMar>
              <w:left w:w="108" w:type="dxa"/>
              <w:right w:w="108" w:type="dxa"/>
            </w:tcMar>
            <w:vAlign w:val="center"/>
          </w:tcPr>
          <w:p>
            <w:pPr>
              <w:rPr>
                <w:rFonts w:hint="eastAsia" w:ascii="黑体" w:hAnsi="黑体" w:eastAsia="黑体" w:cs="黑体"/>
                <w:sz w:val="24"/>
                <w:szCs w:val="24"/>
              </w:rPr>
            </w:pPr>
            <w:r>
              <w:rPr>
                <w:rFonts w:hint="eastAsia" w:ascii="黑体" w:hAnsi="黑体" w:eastAsia="黑体" w:cs="黑体"/>
                <w:sz w:val="24"/>
                <w:szCs w:val="24"/>
              </w:rPr>
              <w:t>其他</w:t>
            </w:r>
          </w:p>
        </w:tc>
        <w:tc>
          <w:tcPr>
            <w:tcW w:w="503" w:type="dxa"/>
            <w:vMerge w:val="continue"/>
            <w:noWrap w:val="0"/>
            <w:tcMar>
              <w:left w:w="108" w:type="dxa"/>
              <w:right w:w="108" w:type="dxa"/>
            </w:tcMar>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491"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35" w:type="dxa"/>
            <w:gridSpan w:val="3"/>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restart"/>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三、本年度办理结果</w:t>
            </w:r>
          </w:p>
        </w:tc>
        <w:tc>
          <w:tcPr>
            <w:tcW w:w="3988" w:type="dxa"/>
            <w:gridSpan w:val="2"/>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（一）予以公开</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3988" w:type="dxa"/>
            <w:gridSpan w:val="2"/>
            <w:noWrap w:val="0"/>
            <w:tcMar>
              <w:left w:w="108" w:type="dxa"/>
              <w:right w:w="108" w:type="dxa"/>
            </w:tcMar>
            <w:vAlign w:val="center"/>
          </w:tcPr>
          <w:p>
            <w:pPr>
              <w:rPr>
                <w:rFonts w:hint="eastAsia" w:ascii="宋体" w:hAnsi="宋体" w:eastAsia="宋体" w:cs="宋体"/>
                <w:sz w:val="24"/>
                <w:szCs w:val="24"/>
              </w:rPr>
            </w:pPr>
            <w:r>
              <w:rPr>
                <w:rFonts w:hint="eastAsia" w:ascii="宋体" w:hAnsi="宋体" w:eastAsia="宋体" w:cs="宋体"/>
                <w:sz w:val="24"/>
                <w:szCs w:val="24"/>
              </w:rPr>
              <w:t>（二）部分公开（区分处理的，只计这一情形，不计其他情形）</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numPr>
                <w:ilvl w:val="0"/>
                <w:numId w:val="1"/>
              </w:numPr>
              <w:jc w:val="center"/>
              <w:rPr>
                <w:rFonts w:hint="eastAsia" w:ascii="宋体" w:hAnsi="宋体" w:eastAsia="宋体" w:cs="宋体"/>
                <w:outline w:val="0"/>
                <w:shadow w:val="0"/>
                <w:emboss w:val="0"/>
                <w:imprint w:val="0"/>
                <w:vanish w:val="0"/>
                <w:spacing w:val="-11"/>
                <w:w w:val="100"/>
                <w:sz w:val="24"/>
                <w:szCs w:val="24"/>
                <w:u w:val="none"/>
              </w:rPr>
            </w:pPr>
          </w:p>
          <w:p>
            <w:pPr>
              <w:numPr>
                <w:ilvl w:val="0"/>
                <w:numId w:val="0"/>
              </w:numPr>
              <w:jc w:val="center"/>
              <w:rPr>
                <w:rFonts w:hint="eastAsia" w:ascii="宋体" w:hAnsi="宋体" w:eastAsia="宋体" w:cs="宋体"/>
                <w:outline w:val="0"/>
                <w:shadow w:val="0"/>
                <w:emboss w:val="0"/>
                <w:imprint w:val="0"/>
                <w:vanish w:val="0"/>
                <w:spacing w:val="-11"/>
                <w:w w:val="100"/>
                <w:sz w:val="24"/>
                <w:szCs w:val="24"/>
                <w:u w:val="none"/>
              </w:rPr>
            </w:pPr>
            <w:r>
              <w:rPr>
                <w:rFonts w:hint="eastAsia" w:ascii="宋体" w:hAnsi="宋体" w:eastAsia="宋体" w:cs="宋体"/>
                <w:outline w:val="0"/>
                <w:shadow w:val="0"/>
                <w:emboss w:val="0"/>
                <w:imprint w:val="0"/>
                <w:vanish w:val="0"/>
                <w:spacing w:val="-11"/>
                <w:w w:val="100"/>
                <w:sz w:val="24"/>
                <w:szCs w:val="24"/>
                <w:u w:val="none"/>
              </w:rPr>
              <w:t>不予</w:t>
            </w:r>
          </w:p>
          <w:p>
            <w:pPr>
              <w:numPr>
                <w:ilvl w:val="0"/>
                <w:numId w:val="0"/>
              </w:numPr>
              <w:jc w:val="center"/>
              <w:rPr>
                <w:rFonts w:hint="eastAsia" w:ascii="宋体" w:hAnsi="宋体" w:eastAsia="宋体" w:cs="宋体"/>
                <w:sz w:val="24"/>
                <w:szCs w:val="24"/>
              </w:rPr>
            </w:pPr>
            <w:r>
              <w:rPr>
                <w:rFonts w:hint="eastAsia" w:ascii="宋体" w:hAnsi="宋体" w:eastAsia="宋体" w:cs="宋体"/>
                <w:outline w:val="0"/>
                <w:shadow w:val="0"/>
                <w:emboss w:val="0"/>
                <w:imprint w:val="0"/>
                <w:vanish w:val="0"/>
                <w:spacing w:val="-11"/>
                <w:w w:val="100"/>
                <w:sz w:val="24"/>
                <w:szCs w:val="24"/>
                <w:u w:val="none"/>
              </w:rPr>
              <w:t>公开</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1</w:t>
            </w:r>
            <w:r>
              <w:rPr>
                <w:rFonts w:hint="eastAsia" w:ascii="宋体" w:hAnsi="宋体" w:eastAsia="宋体" w:cs="宋体"/>
                <w:sz w:val="24"/>
                <w:szCs w:val="24"/>
              </w:rPr>
              <w:t>.属于国家秘密</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2</w:t>
            </w:r>
            <w:r>
              <w:rPr>
                <w:rFonts w:hint="eastAsia" w:ascii="宋体" w:hAnsi="宋体" w:eastAsia="宋体" w:cs="宋体"/>
                <w:sz w:val="24"/>
                <w:szCs w:val="24"/>
              </w:rPr>
              <w:t>.其他法律行政法规禁止公开</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3</w:t>
            </w:r>
            <w:r>
              <w:rPr>
                <w:rFonts w:hint="eastAsia" w:ascii="宋体" w:hAnsi="宋体" w:eastAsia="宋体" w:cs="宋体"/>
                <w:sz w:val="24"/>
                <w:szCs w:val="24"/>
              </w:rPr>
              <w:t>.危及“三安全一稳定”</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4</w:t>
            </w:r>
            <w:r>
              <w:rPr>
                <w:rFonts w:hint="eastAsia" w:ascii="宋体" w:hAnsi="宋体" w:eastAsia="宋体" w:cs="宋体"/>
                <w:sz w:val="24"/>
                <w:szCs w:val="24"/>
              </w:rPr>
              <w:t>.保护第三方合法权益</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5</w:t>
            </w:r>
            <w:r>
              <w:rPr>
                <w:rFonts w:hint="eastAsia" w:ascii="宋体" w:hAnsi="宋体" w:eastAsia="宋体" w:cs="宋体"/>
                <w:sz w:val="24"/>
                <w:szCs w:val="24"/>
              </w:rPr>
              <w:t>.属于三类内部事务信息</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6</w:t>
            </w:r>
            <w:r>
              <w:rPr>
                <w:rFonts w:hint="eastAsia" w:ascii="宋体" w:hAnsi="宋体" w:eastAsia="宋体" w:cs="宋体"/>
                <w:sz w:val="24"/>
                <w:szCs w:val="24"/>
              </w:rPr>
              <w:t>.属于四类过程性信息</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7</w:t>
            </w:r>
            <w:r>
              <w:rPr>
                <w:rFonts w:hint="eastAsia" w:ascii="宋体" w:hAnsi="宋体" w:eastAsia="宋体" w:cs="宋体"/>
                <w:sz w:val="24"/>
                <w:szCs w:val="24"/>
              </w:rPr>
              <w:t>.属于行政执法案卷</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8</w:t>
            </w:r>
            <w:r>
              <w:rPr>
                <w:rFonts w:hint="eastAsia" w:ascii="宋体" w:hAnsi="宋体" w:eastAsia="宋体" w:cs="宋体"/>
                <w:sz w:val="24"/>
                <w:szCs w:val="24"/>
              </w:rPr>
              <w:t>.属于行政查询事项</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jc w:val="center"/>
              <w:rPr>
                <w:rFonts w:hint="eastAsia" w:ascii="宋体" w:hAnsi="宋体" w:eastAsia="宋体" w:cs="宋体"/>
                <w:sz w:val="24"/>
                <w:szCs w:val="24"/>
              </w:rPr>
            </w:pPr>
            <w:r>
              <w:rPr>
                <w:rFonts w:hint="eastAsia" w:ascii="宋体" w:hAnsi="宋体" w:eastAsia="宋体" w:cs="宋体"/>
                <w:sz w:val="24"/>
                <w:szCs w:val="24"/>
              </w:rPr>
              <w:t>（四）无法</w:t>
            </w:r>
          </w:p>
          <w:p>
            <w:pPr>
              <w:jc w:val="center"/>
              <w:rPr>
                <w:rFonts w:hint="eastAsia" w:ascii="宋体" w:hAnsi="宋体" w:eastAsia="宋体" w:cs="宋体"/>
                <w:sz w:val="24"/>
                <w:szCs w:val="24"/>
              </w:rPr>
            </w:pPr>
            <w:r>
              <w:rPr>
                <w:rFonts w:hint="eastAsia" w:ascii="宋体" w:hAnsi="宋体" w:eastAsia="宋体" w:cs="宋体"/>
                <w:sz w:val="24"/>
                <w:szCs w:val="24"/>
              </w:rPr>
              <w:t>提供</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1</w:t>
            </w:r>
            <w:r>
              <w:rPr>
                <w:rFonts w:hint="eastAsia" w:ascii="宋体" w:hAnsi="宋体" w:eastAsia="宋体" w:cs="宋体"/>
                <w:sz w:val="24"/>
                <w:szCs w:val="24"/>
              </w:rPr>
              <w:t>.本机关不掌握相关政府信息</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2</w:t>
            </w:r>
            <w:r>
              <w:rPr>
                <w:rFonts w:hint="eastAsia" w:ascii="宋体" w:hAnsi="宋体" w:eastAsia="宋体" w:cs="宋体"/>
                <w:sz w:val="24"/>
                <w:szCs w:val="24"/>
              </w:rPr>
              <w:t>.没有现成信息需要另行制作</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jc w:val="cente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3</w:t>
            </w:r>
            <w:r>
              <w:rPr>
                <w:rFonts w:hint="eastAsia" w:ascii="宋体" w:hAnsi="宋体" w:eastAsia="宋体" w:cs="宋体"/>
                <w:sz w:val="24"/>
                <w:szCs w:val="24"/>
              </w:rPr>
              <w:t>.</w:t>
            </w:r>
            <w:r>
              <w:rPr>
                <w:rFonts w:hint="eastAsia" w:ascii="宋体" w:hAnsi="宋体" w:eastAsia="宋体" w:cs="宋体"/>
                <w:spacing w:val="-6"/>
                <w:sz w:val="24"/>
                <w:szCs w:val="24"/>
              </w:rPr>
              <w:t>补正后申请内容仍不明确</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restart"/>
            <w:noWrap w:val="0"/>
            <w:tcMar>
              <w:left w:w="108" w:type="dxa"/>
              <w:right w:w="108" w:type="dxa"/>
            </w:tcMar>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cs="宋体"/>
                <w:sz w:val="24"/>
                <w:szCs w:val="24"/>
                <w:lang w:eastAsia="zh-CN"/>
              </w:rPr>
              <w:t>（五）</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不予</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处理</w:t>
            </w: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1</w:t>
            </w:r>
            <w:r>
              <w:rPr>
                <w:rFonts w:hint="eastAsia" w:ascii="宋体" w:hAnsi="宋体" w:eastAsia="宋体" w:cs="宋体"/>
                <w:sz w:val="24"/>
                <w:szCs w:val="24"/>
              </w:rPr>
              <w:t>.信访举报投诉类申请</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2</w:t>
            </w:r>
            <w:r>
              <w:rPr>
                <w:rFonts w:hint="eastAsia" w:ascii="宋体" w:hAnsi="宋体" w:eastAsia="宋体" w:cs="宋体"/>
                <w:sz w:val="24"/>
                <w:szCs w:val="24"/>
              </w:rPr>
              <w:t>.重复申请</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3</w:t>
            </w:r>
            <w:r>
              <w:rPr>
                <w:rFonts w:hint="eastAsia" w:ascii="宋体" w:hAnsi="宋体" w:eastAsia="宋体" w:cs="宋体"/>
                <w:sz w:val="24"/>
                <w:szCs w:val="24"/>
              </w:rPr>
              <w:t>.要求提供公开出版物</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noWrap w:val="0"/>
            <w:tcMar>
              <w:left w:w="108" w:type="dxa"/>
              <w:right w:w="108" w:type="dxa"/>
            </w:tcMar>
            <w:vAlign w:val="center"/>
          </w:tcPr>
          <w:p>
            <w:pPr>
              <w:rPr>
                <w:rFonts w:hint="eastAsia" w:ascii="宋体" w:hAnsi="宋体" w:eastAsia="宋体" w:cs="宋体"/>
                <w:sz w:val="24"/>
                <w:szCs w:val="24"/>
              </w:rPr>
            </w:pPr>
          </w:p>
        </w:tc>
        <w:tc>
          <w:tcPr>
            <w:tcW w:w="2979" w:type="dxa"/>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4</w:t>
            </w:r>
            <w:r>
              <w:rPr>
                <w:rFonts w:hint="eastAsia" w:ascii="宋体" w:hAnsi="宋体" w:eastAsia="宋体" w:cs="宋体"/>
                <w:sz w:val="24"/>
                <w:szCs w:val="24"/>
              </w:rPr>
              <w:t>.</w:t>
            </w:r>
            <w:r>
              <w:rPr>
                <w:rFonts w:hint="eastAsia" w:ascii="宋体" w:hAnsi="宋体" w:eastAsia="宋体" w:cs="宋体"/>
                <w:outline w:val="0"/>
                <w:shadow w:val="0"/>
                <w:emboss w:val="0"/>
                <w:imprint w:val="0"/>
                <w:vanish w:val="0"/>
                <w:spacing w:val="-6"/>
                <w:w w:val="100"/>
                <w:sz w:val="24"/>
                <w:szCs w:val="24"/>
                <w:u w:val="none"/>
              </w:rPr>
              <w:t>无正当理由大量反复申请</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jc w:val="center"/>
        </w:trPr>
        <w:tc>
          <w:tcPr>
            <w:tcW w:w="747" w:type="dxa"/>
            <w:vMerge w:val="continue"/>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bottom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bottom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Times New Roman" w:hAnsi="Times New Roman" w:eastAsia="宋体" w:cs="宋体"/>
                <w:sz w:val="24"/>
                <w:szCs w:val="24"/>
              </w:rPr>
              <w:t>5</w:t>
            </w:r>
            <w:r>
              <w:rPr>
                <w:rFonts w:hint="eastAsia" w:ascii="宋体" w:hAnsi="宋体" w:eastAsia="宋体" w:cs="宋体"/>
                <w:sz w:val="24"/>
                <w:szCs w:val="24"/>
              </w:rPr>
              <w:t>.要求行政机关确认或重新出具已获取信息</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9" w:hRule="atLeast"/>
          <w:jc w:val="center"/>
        </w:trPr>
        <w:tc>
          <w:tcPr>
            <w:tcW w:w="747" w:type="dxa"/>
            <w:vMerge w:val="restart"/>
            <w:tcBorders>
              <w:right w:val="single" w:color="auto" w:sz="4" w:space="0"/>
            </w:tcBorders>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三、本年度办理结果</w:t>
            </w:r>
          </w:p>
        </w:tc>
        <w:tc>
          <w:tcPr>
            <w:tcW w:w="1009"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numPr>
                <w:ilvl w:val="0"/>
                <w:numId w:val="0"/>
              </w:numPr>
              <w:ind w:leftChars="0"/>
              <w:jc w:val="both"/>
              <w:rPr>
                <w:rFonts w:hint="eastAsia" w:ascii="宋体" w:hAnsi="宋体" w:eastAsia="宋体" w:cs="宋体"/>
                <w:sz w:val="24"/>
                <w:szCs w:val="24"/>
                <w:lang w:eastAsia="zh-CN"/>
              </w:rPr>
            </w:pPr>
            <w:r>
              <w:rPr>
                <w:rFonts w:hint="eastAsia" w:ascii="宋体" w:hAnsi="宋体" w:cs="宋体"/>
                <w:sz w:val="24"/>
                <w:szCs w:val="24"/>
                <w:lang w:eastAsia="zh-CN"/>
              </w:rPr>
              <w:t>（六）</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其他</w:t>
            </w:r>
          </w:p>
          <w:p>
            <w:pPr>
              <w:numPr>
                <w:ilvl w:val="0"/>
                <w:numId w:val="0"/>
              </w:numPr>
              <w:ind w:leftChars="0"/>
              <w:jc w:val="center"/>
              <w:rPr>
                <w:rFonts w:hint="eastAsia" w:ascii="宋体" w:hAnsi="宋体" w:eastAsia="宋体" w:cs="宋体"/>
                <w:sz w:val="24"/>
                <w:szCs w:val="24"/>
              </w:rPr>
            </w:pPr>
            <w:r>
              <w:rPr>
                <w:rFonts w:hint="eastAsia" w:ascii="宋体" w:hAnsi="宋体" w:eastAsia="宋体" w:cs="宋体"/>
                <w:sz w:val="24"/>
                <w:szCs w:val="24"/>
              </w:rPr>
              <w:t>处理</w:t>
            </w:r>
          </w:p>
        </w:tc>
        <w:tc>
          <w:tcPr>
            <w:tcW w:w="2979" w:type="dxa"/>
            <w:tcBorders>
              <w:top w:val="single" w:color="auto" w:sz="4" w:space="0"/>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1</w:t>
            </w:r>
            <w:r>
              <w:rPr>
                <w:rFonts w:hint="eastAsia" w:ascii="宋体" w:hAnsi="宋体" w:eastAsia="宋体" w:cs="宋体"/>
                <w:sz w:val="24"/>
                <w:szCs w:val="24"/>
                <w:lang w:val="en-US" w:eastAsia="zh-CN"/>
              </w:rPr>
              <w:t>.申请人无正当理由逾期不补正、行政机关不再处理其政府信息公开申请</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left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2</w:t>
            </w:r>
            <w:r>
              <w:rPr>
                <w:rFonts w:hint="eastAsia" w:ascii="宋体" w:hAnsi="宋体" w:eastAsia="宋体" w:cs="宋体"/>
                <w:sz w:val="24"/>
                <w:szCs w:val="24"/>
                <w:lang w:val="en-US" w:eastAsia="zh-CN"/>
              </w:rPr>
              <w:t>.申请人逾期未按收费通知要求缴纳费用、行政机关不再处理其政府信息公开申请</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1009"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2979" w:type="dxa"/>
            <w:tcBorders>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3</w:t>
            </w:r>
            <w:r>
              <w:rPr>
                <w:rFonts w:hint="eastAsia" w:ascii="宋体" w:hAnsi="宋体" w:eastAsia="宋体" w:cs="宋体"/>
                <w:sz w:val="24"/>
                <w:szCs w:val="24"/>
                <w:lang w:val="en-US" w:eastAsia="zh-CN"/>
              </w:rPr>
              <w:t>.其他</w:t>
            </w:r>
          </w:p>
        </w:tc>
        <w:tc>
          <w:tcPr>
            <w:tcW w:w="491" w:type="dxa"/>
            <w:tcBorders>
              <w:left w:val="single" w:color="auto" w:sz="4" w:space="0"/>
            </w:tcBorders>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47" w:type="dxa"/>
            <w:vMerge w:val="continue"/>
            <w:tcBorders>
              <w:right w:val="single" w:color="auto" w:sz="4" w:space="0"/>
            </w:tcBorders>
            <w:noWrap w:val="0"/>
            <w:tcMar>
              <w:left w:w="108" w:type="dxa"/>
              <w:right w:w="108" w:type="dxa"/>
            </w:tcMar>
            <w:vAlign w:val="center"/>
          </w:tcPr>
          <w:p>
            <w:pPr>
              <w:rPr>
                <w:rFonts w:hint="eastAsia" w:ascii="宋体" w:hAnsi="宋体" w:eastAsia="宋体" w:cs="宋体"/>
                <w:sz w:val="24"/>
                <w:szCs w:val="24"/>
              </w:rPr>
            </w:pPr>
          </w:p>
        </w:tc>
        <w:tc>
          <w:tcPr>
            <w:tcW w:w="3988" w:type="dxa"/>
            <w:gridSpan w:val="2"/>
            <w:tcBorders>
              <w:top w:val="single" w:color="auto" w:sz="4" w:space="0"/>
            </w:tcBorders>
            <w:noWrap w:val="0"/>
            <w:tcMar>
              <w:left w:w="108" w:type="dxa"/>
              <w:right w:w="108" w:type="dxa"/>
            </w:tcMar>
            <w:vAlign w:val="center"/>
          </w:tcPr>
          <w:p>
            <w:pPr>
              <w:jc w:val="left"/>
              <w:rPr>
                <w:rFonts w:hint="eastAsia" w:ascii="宋体" w:hAnsi="宋体" w:eastAsia="宋体" w:cs="宋体"/>
                <w:sz w:val="24"/>
                <w:szCs w:val="24"/>
              </w:rPr>
            </w:pPr>
            <w:r>
              <w:rPr>
                <w:rFonts w:hint="eastAsia" w:ascii="宋体" w:hAnsi="宋体" w:eastAsia="宋体" w:cs="宋体"/>
                <w:sz w:val="24"/>
                <w:szCs w:val="24"/>
              </w:rPr>
              <w:t>（七）总计</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735" w:type="dxa"/>
            <w:gridSpan w:val="3"/>
            <w:noWrap w:val="0"/>
            <w:tcMar>
              <w:left w:w="108" w:type="dxa"/>
              <w:right w:w="108" w:type="dxa"/>
            </w:tcMar>
            <w:vAlign w:val="center"/>
          </w:tcPr>
          <w:p>
            <w:pPr>
              <w:jc w:val="center"/>
              <w:rPr>
                <w:rFonts w:hint="eastAsia" w:ascii="宋体" w:hAnsi="宋体" w:eastAsia="宋体" w:cs="宋体"/>
                <w:sz w:val="24"/>
                <w:szCs w:val="24"/>
              </w:rPr>
            </w:pPr>
            <w:r>
              <w:rPr>
                <w:rFonts w:hint="eastAsia" w:ascii="黑体" w:hAnsi="黑体" w:eastAsia="黑体" w:cs="黑体"/>
                <w:sz w:val="24"/>
                <w:szCs w:val="24"/>
              </w:rPr>
              <w:t>四、结转下年度继续办理</w:t>
            </w:r>
          </w:p>
        </w:tc>
        <w:tc>
          <w:tcPr>
            <w:tcW w:w="491"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7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14"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c>
          <w:tcPr>
            <w:tcW w:w="503" w:type="dxa"/>
            <w:noWrap w:val="0"/>
            <w:tcMar>
              <w:left w:w="108" w:type="dxa"/>
              <w:right w:w="108" w:type="dxa"/>
            </w:tcMar>
            <w:vAlign w:val="center"/>
          </w:tcPr>
          <w:p>
            <w:pPr>
              <w:rPr>
                <w:rFonts w:hint="eastAsia" w:ascii="宋体" w:hAnsi="宋体" w:eastAsia="宋体" w:cs="宋体"/>
                <w:sz w:val="24"/>
                <w:szCs w:val="24"/>
              </w:rPr>
            </w:pPr>
            <w:r>
              <w:rPr>
                <w:rFonts w:hint="eastAsia" w:ascii="宋体" w:hAnsi="宋体" w:cs="宋体"/>
                <w:sz w:val="24"/>
                <w:szCs w:val="24"/>
                <w:lang w:val="en-US" w:eastAsia="zh-CN"/>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四、政府信息公开行政复议、行政诉讼情况</w:t>
      </w:r>
    </w:p>
    <w:tbl>
      <w:tblPr>
        <w:tblStyle w:val="5"/>
        <w:tblW w:w="9058" w:type="dxa"/>
        <w:jc w:val="center"/>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2"/>
        <w:gridCol w:w="525"/>
        <w:gridCol w:w="542"/>
        <w:gridCol w:w="525"/>
        <w:gridCol w:w="598"/>
        <w:gridCol w:w="607"/>
        <w:gridCol w:w="558"/>
        <w:gridCol w:w="687"/>
        <w:gridCol w:w="591"/>
        <w:gridCol w:w="721"/>
        <w:gridCol w:w="687"/>
        <w:gridCol w:w="638"/>
        <w:gridCol w:w="638"/>
        <w:gridCol w:w="638"/>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72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行政复议</w:t>
            </w:r>
          </w:p>
        </w:tc>
        <w:tc>
          <w:tcPr>
            <w:tcW w:w="6336"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3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54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52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598"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计</w:t>
            </w:r>
          </w:p>
        </w:tc>
        <w:tc>
          <w:tcPr>
            <w:tcW w:w="3164"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未经复议直接起诉</w:t>
            </w:r>
          </w:p>
        </w:tc>
        <w:tc>
          <w:tcPr>
            <w:tcW w:w="317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jc w:val="center"/>
        </w:trPr>
        <w:tc>
          <w:tcPr>
            <w:tcW w:w="532"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4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2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598"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val="en-US" w:eastAsia="zh-CN" w:bidi="ar"/>
              </w:rPr>
            </w:pPr>
            <w:r>
              <w:rPr>
                <w:rFonts w:hint="eastAsia" w:ascii="黑体" w:hAnsi="黑体" w:eastAsia="黑体" w:cs="黑体"/>
                <w:kern w:val="0"/>
                <w:sz w:val="24"/>
                <w:lang w:bidi="ar"/>
              </w:rPr>
              <w:t>总</w:t>
            </w:r>
            <w:r>
              <w:rPr>
                <w:rFonts w:hint="eastAsia" w:ascii="黑体" w:hAnsi="黑体" w:eastAsia="黑体" w:cs="黑体"/>
                <w:kern w:val="0"/>
                <w:sz w:val="24"/>
                <w:lang w:val="en-US" w:eastAsia="zh-CN" w:bidi="ar"/>
              </w:rPr>
              <w:t xml:space="preserve"> </w:t>
            </w:r>
            <w:r>
              <w:rPr>
                <w:rFonts w:hint="eastAsia" w:ascii="黑体" w:hAnsi="黑体" w:eastAsia="黑体" w:cs="黑体"/>
                <w:kern w:val="0"/>
                <w:sz w:val="24"/>
                <w:lang w:bidi="ar"/>
              </w:rPr>
              <w:t>计</w:t>
            </w:r>
            <w:r>
              <w:rPr>
                <w:rFonts w:hint="eastAsia" w:ascii="黑体" w:hAnsi="黑体" w:eastAsia="黑体" w:cs="黑体"/>
                <w:kern w:val="0"/>
                <w:sz w:val="24"/>
                <w:lang w:val="en-US" w:eastAsia="zh-CN" w:bidi="ar"/>
              </w:rPr>
              <w:t xml:space="preserve">   </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结果维持</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结果纠正</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其他结果</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尚未审结</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黑体" w:hAnsi="黑体" w:eastAsia="黑体" w:cs="黑体"/>
                <w:kern w:val="0"/>
                <w:sz w:val="24"/>
                <w:lang w:bidi="ar"/>
              </w:rPr>
            </w:pPr>
            <w:r>
              <w:rPr>
                <w:rFonts w:hint="eastAsia" w:ascii="黑体" w:hAnsi="黑体" w:eastAsia="黑体" w:cs="黑体"/>
                <w:kern w:val="0"/>
                <w:sz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4" w:hRule="atLeast"/>
          <w:jc w:val="center"/>
        </w:trPr>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4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9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0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5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9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72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8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63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c>
          <w:tcPr>
            <w:tcW w:w="57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kern w:val="0"/>
                <w:sz w:val="24"/>
                <w:lang w:val="en-US" w:eastAsia="zh-CN" w:bidi="ar"/>
              </w:rPr>
            </w:pPr>
            <w:r>
              <w:rPr>
                <w:rFonts w:hint="eastAsia" w:ascii="宋体" w:hAnsi="宋体" w:cs="宋体"/>
                <w:kern w:val="0"/>
                <w:sz w:val="24"/>
                <w:lang w:val="en-US" w:eastAsia="zh-CN" w:bidi="ar"/>
              </w:rPr>
              <w:t>0</w:t>
            </w:r>
          </w:p>
        </w:tc>
      </w:tr>
    </w:tbl>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五、存在的主要问题及改进情况</w:t>
      </w:r>
    </w:p>
    <w:p>
      <w:pPr>
        <w:spacing w:line="560" w:lineRule="exact"/>
        <w:ind w:firstLine="639" w:firstLineChars="199"/>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（一）存在的主要问题。</w:t>
      </w:r>
      <w:r>
        <w:rPr>
          <w:rFonts w:hint="eastAsia" w:ascii="仿宋_GB2312" w:hAnsi="宋体" w:eastAsia="仿宋_GB2312" w:cs="宋体"/>
          <w:sz w:val="32"/>
          <w:szCs w:val="32"/>
          <w:lang w:eastAsia="zh-CN"/>
        </w:rPr>
        <w:t>一是信息公开的全面性有待提高，内容还需进一步丰富；二是对公众和社会关注的热点问题回应较少。</w:t>
      </w:r>
    </w:p>
    <w:p>
      <w:pPr>
        <w:spacing w:line="560" w:lineRule="exact"/>
        <w:ind w:firstLine="639" w:firstLineChars="199"/>
        <w:rPr>
          <w:rFonts w:hint="eastAsia" w:ascii="仿宋_GB2312" w:hAnsi="宋体" w:eastAsia="仿宋_GB2312" w:cs="宋体"/>
          <w:sz w:val="32"/>
          <w:szCs w:val="32"/>
          <w:lang w:eastAsia="zh-CN"/>
        </w:rPr>
      </w:pPr>
      <w:r>
        <w:rPr>
          <w:rFonts w:hint="eastAsia" w:ascii="楷体_GB2312" w:hAnsi="楷体_GB2312" w:eastAsia="楷体_GB2312" w:cs="楷体_GB2312"/>
          <w:b/>
          <w:bCs/>
          <w:sz w:val="32"/>
          <w:szCs w:val="32"/>
          <w:lang w:eastAsia="zh-CN"/>
        </w:rPr>
        <w:t>（二）改进措施。</w:t>
      </w:r>
      <w:r>
        <w:rPr>
          <w:rFonts w:hint="eastAsia" w:ascii="仿宋_GB2312" w:hAnsi="宋体" w:eastAsia="仿宋_GB2312" w:cs="宋体"/>
          <w:sz w:val="32"/>
          <w:szCs w:val="32"/>
          <w:lang w:eastAsia="zh-CN"/>
        </w:rPr>
        <w:t>一是及时与相关部门沟通交流，提高信息公开的全面性；二是加强公众和社会关注的热点问题回应，着力提高回应的及时性、针对性、有效性，努力提高依法公开的能力和水平。</w:t>
      </w:r>
    </w:p>
    <w:p>
      <w:pPr>
        <w:spacing w:line="560" w:lineRule="exact"/>
        <w:ind w:firstLine="636" w:firstLineChars="199"/>
        <w:rPr>
          <w:rFonts w:hint="eastAsia" w:ascii="黑体" w:hAnsi="黑体" w:eastAsia="黑体" w:cs="宋体"/>
          <w:sz w:val="32"/>
          <w:szCs w:val="32"/>
        </w:rPr>
      </w:pPr>
      <w:r>
        <w:rPr>
          <w:rFonts w:hint="eastAsia" w:ascii="黑体" w:hAnsi="黑体" w:eastAsia="黑体" w:cs="宋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额敏县人力资源和社会保障局按照《国务院办公厅关于印发&lt;政府信息公开信息处理费管理办法&gt;的通知》（国办函〔2020〕109号）规定的按件、按量收费标准，本年度没有产生信息公开处理费。</w:t>
      </w:r>
    </w:p>
    <w:p>
      <w:pPr>
        <w:spacing w:line="560" w:lineRule="exact"/>
        <w:rPr>
          <w:rFonts w:hint="eastAsia" w:ascii="仿宋_GB2312" w:hAnsi="宋体" w:eastAsia="仿宋_GB2312" w:cs="宋体"/>
          <w:sz w:val="32"/>
          <w:szCs w:val="32"/>
          <w:lang w:val="en-US" w:eastAsia="zh-CN"/>
        </w:rPr>
      </w:pPr>
    </w:p>
    <w:p>
      <w:pPr>
        <w:spacing w:line="560" w:lineRule="exact"/>
        <w:ind w:firstLine="875" w:firstLineChars="19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额敏县人力资源和社会保障局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2025年2月17日  </w:t>
      </w:r>
    </w:p>
    <w:sectPr>
      <w:footerReference r:id="rId3" w:type="default"/>
      <w:pgSz w:w="11906" w:h="16838"/>
      <w:pgMar w:top="1984" w:right="1531" w:bottom="1701" w:left="1531" w:header="851" w:footer="1417" w:gutter="0"/>
      <w:paperSrc/>
      <w:pgNumType w:fmt="decimal" w:start="4"/>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16BC5"/>
    <w:multiLevelType w:val="singleLevel"/>
    <w:tmpl w:val="47316B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1990"/>
    <w:rsid w:val="0DBE5485"/>
    <w:rsid w:val="0FB1ED13"/>
    <w:rsid w:val="15FB8EA7"/>
    <w:rsid w:val="17F90D9B"/>
    <w:rsid w:val="1BF9075A"/>
    <w:rsid w:val="1C160C37"/>
    <w:rsid w:val="1C8C759E"/>
    <w:rsid w:val="1D577EA2"/>
    <w:rsid w:val="1DBDFBC9"/>
    <w:rsid w:val="1F1B418C"/>
    <w:rsid w:val="1FDB8C67"/>
    <w:rsid w:val="2DBFBC40"/>
    <w:rsid w:val="2DFDE716"/>
    <w:rsid w:val="2E717CC0"/>
    <w:rsid w:val="2E7B3A54"/>
    <w:rsid w:val="2F6DEC47"/>
    <w:rsid w:val="2FDF01AE"/>
    <w:rsid w:val="2FF4864B"/>
    <w:rsid w:val="2FFB22A4"/>
    <w:rsid w:val="31464495"/>
    <w:rsid w:val="31A26527"/>
    <w:rsid w:val="33476133"/>
    <w:rsid w:val="33694A91"/>
    <w:rsid w:val="33D714C0"/>
    <w:rsid w:val="34BBC352"/>
    <w:rsid w:val="35005A9C"/>
    <w:rsid w:val="35AC6D83"/>
    <w:rsid w:val="35FD630A"/>
    <w:rsid w:val="369EAFAC"/>
    <w:rsid w:val="37E6ECC8"/>
    <w:rsid w:val="37FFDA62"/>
    <w:rsid w:val="3A301504"/>
    <w:rsid w:val="3AFF2EE8"/>
    <w:rsid w:val="3BDABEC6"/>
    <w:rsid w:val="3BF54923"/>
    <w:rsid w:val="3BFF17F9"/>
    <w:rsid w:val="3D7F7DD5"/>
    <w:rsid w:val="3DFE6730"/>
    <w:rsid w:val="3DFF1F5B"/>
    <w:rsid w:val="3EAB0813"/>
    <w:rsid w:val="3EBA2A5A"/>
    <w:rsid w:val="3ECDB389"/>
    <w:rsid w:val="3F9713AE"/>
    <w:rsid w:val="3FBE452B"/>
    <w:rsid w:val="40D01062"/>
    <w:rsid w:val="45FF8569"/>
    <w:rsid w:val="495FD348"/>
    <w:rsid w:val="4AFE2542"/>
    <w:rsid w:val="4B476D29"/>
    <w:rsid w:val="4B985689"/>
    <w:rsid w:val="4DF5448C"/>
    <w:rsid w:val="4E5D3FAD"/>
    <w:rsid w:val="4ED3CC05"/>
    <w:rsid w:val="4EE7823E"/>
    <w:rsid w:val="4F7F0F6C"/>
    <w:rsid w:val="53FDAC02"/>
    <w:rsid w:val="53FFBDEB"/>
    <w:rsid w:val="54BF66A9"/>
    <w:rsid w:val="55FE89AF"/>
    <w:rsid w:val="569BCBE4"/>
    <w:rsid w:val="56F75819"/>
    <w:rsid w:val="573D23C5"/>
    <w:rsid w:val="57ABD0BC"/>
    <w:rsid w:val="588F9D8D"/>
    <w:rsid w:val="5AFEA431"/>
    <w:rsid w:val="5B0F0C9E"/>
    <w:rsid w:val="5BDBA9BF"/>
    <w:rsid w:val="5CA772BC"/>
    <w:rsid w:val="5D3EFB57"/>
    <w:rsid w:val="5DB52F95"/>
    <w:rsid w:val="5DEA2796"/>
    <w:rsid w:val="5E77C89D"/>
    <w:rsid w:val="5EDFBC86"/>
    <w:rsid w:val="5EEE0E0E"/>
    <w:rsid w:val="5EFFF25A"/>
    <w:rsid w:val="5F5B3921"/>
    <w:rsid w:val="5FBD29CB"/>
    <w:rsid w:val="5FBF7A07"/>
    <w:rsid w:val="5FFFB2CA"/>
    <w:rsid w:val="63EB0F43"/>
    <w:rsid w:val="63F51A12"/>
    <w:rsid w:val="666F524E"/>
    <w:rsid w:val="67FC9BDC"/>
    <w:rsid w:val="69C253C8"/>
    <w:rsid w:val="69FECB58"/>
    <w:rsid w:val="6A502537"/>
    <w:rsid w:val="6ADF26F4"/>
    <w:rsid w:val="6BF7ACEA"/>
    <w:rsid w:val="6BFE896C"/>
    <w:rsid w:val="6EE57227"/>
    <w:rsid w:val="6EEFE970"/>
    <w:rsid w:val="6EFE2D9F"/>
    <w:rsid w:val="6FDF5FD4"/>
    <w:rsid w:val="6FF96D33"/>
    <w:rsid w:val="73BF1F48"/>
    <w:rsid w:val="73FA93CF"/>
    <w:rsid w:val="73FB804A"/>
    <w:rsid w:val="74772C9E"/>
    <w:rsid w:val="75B7F74D"/>
    <w:rsid w:val="76B785F1"/>
    <w:rsid w:val="774E65D4"/>
    <w:rsid w:val="77D970E5"/>
    <w:rsid w:val="77DFF527"/>
    <w:rsid w:val="77FC4B6E"/>
    <w:rsid w:val="77FD1A6A"/>
    <w:rsid w:val="77FF625D"/>
    <w:rsid w:val="7A5F28C2"/>
    <w:rsid w:val="7AFF576F"/>
    <w:rsid w:val="7AFFB878"/>
    <w:rsid w:val="7B0D1E87"/>
    <w:rsid w:val="7B7708EE"/>
    <w:rsid w:val="7BC6063A"/>
    <w:rsid w:val="7BCFBD38"/>
    <w:rsid w:val="7BF2FDC5"/>
    <w:rsid w:val="7BFC57ED"/>
    <w:rsid w:val="7BFF4374"/>
    <w:rsid w:val="7C96545E"/>
    <w:rsid w:val="7D4F3E3E"/>
    <w:rsid w:val="7D5FEFA5"/>
    <w:rsid w:val="7D6CD867"/>
    <w:rsid w:val="7D764056"/>
    <w:rsid w:val="7D7DBA64"/>
    <w:rsid w:val="7D9FC4D8"/>
    <w:rsid w:val="7DFED623"/>
    <w:rsid w:val="7DFF4180"/>
    <w:rsid w:val="7E7538F9"/>
    <w:rsid w:val="7EB8C56E"/>
    <w:rsid w:val="7EB928EB"/>
    <w:rsid w:val="7EBFF697"/>
    <w:rsid w:val="7EFC0E7B"/>
    <w:rsid w:val="7EFC9B8D"/>
    <w:rsid w:val="7EFE4EAD"/>
    <w:rsid w:val="7EFF7404"/>
    <w:rsid w:val="7EFFC735"/>
    <w:rsid w:val="7F50710A"/>
    <w:rsid w:val="7F6F1D4B"/>
    <w:rsid w:val="7F748D63"/>
    <w:rsid w:val="7F77B9DA"/>
    <w:rsid w:val="7F9F6549"/>
    <w:rsid w:val="7FAF5D99"/>
    <w:rsid w:val="7FB47235"/>
    <w:rsid w:val="7FBEEAAC"/>
    <w:rsid w:val="7FBFA13F"/>
    <w:rsid w:val="7FCBBEBA"/>
    <w:rsid w:val="7FEEAFD2"/>
    <w:rsid w:val="7FEF8F94"/>
    <w:rsid w:val="7FEFDD07"/>
    <w:rsid w:val="7FF07130"/>
    <w:rsid w:val="7FF99BD5"/>
    <w:rsid w:val="7FF9F85E"/>
    <w:rsid w:val="7FFB59C1"/>
    <w:rsid w:val="7FFE0B86"/>
    <w:rsid w:val="7FFF7799"/>
    <w:rsid w:val="7FFF8484"/>
    <w:rsid w:val="7FFFEEE5"/>
    <w:rsid w:val="8BFEFC87"/>
    <w:rsid w:val="90FBB6AE"/>
    <w:rsid w:val="92DDA34E"/>
    <w:rsid w:val="93FCA4F3"/>
    <w:rsid w:val="96FD0614"/>
    <w:rsid w:val="9BFF7797"/>
    <w:rsid w:val="9E4E6617"/>
    <w:rsid w:val="9EC78753"/>
    <w:rsid w:val="9FAAAD1E"/>
    <w:rsid w:val="9FAD36FF"/>
    <w:rsid w:val="9FBFF697"/>
    <w:rsid w:val="9FFA9AFD"/>
    <w:rsid w:val="9FFB8AD4"/>
    <w:rsid w:val="A7F51AF6"/>
    <w:rsid w:val="A7FEB3B1"/>
    <w:rsid w:val="AAFF459F"/>
    <w:rsid w:val="ABEE8AF0"/>
    <w:rsid w:val="ADDE413E"/>
    <w:rsid w:val="ADFF1E01"/>
    <w:rsid w:val="B8DCC92C"/>
    <w:rsid w:val="BAB13A0D"/>
    <w:rsid w:val="BBD77E1F"/>
    <w:rsid w:val="BBEFE269"/>
    <w:rsid w:val="BBFBA881"/>
    <w:rsid w:val="BCF75867"/>
    <w:rsid w:val="BCFF9D6E"/>
    <w:rsid w:val="BD1BC2C7"/>
    <w:rsid w:val="BD7690B0"/>
    <w:rsid w:val="BDBFA14F"/>
    <w:rsid w:val="BDEEC5E1"/>
    <w:rsid w:val="BEF34AD8"/>
    <w:rsid w:val="BEF3D2E6"/>
    <w:rsid w:val="BEFFB7D0"/>
    <w:rsid w:val="BF22C904"/>
    <w:rsid w:val="BF3BD795"/>
    <w:rsid w:val="BFDF0F8C"/>
    <w:rsid w:val="BFEF4541"/>
    <w:rsid w:val="BFF7D9D8"/>
    <w:rsid w:val="BFFA78D4"/>
    <w:rsid w:val="BFFC642A"/>
    <w:rsid w:val="C67B7F41"/>
    <w:rsid w:val="C6FF2F6B"/>
    <w:rsid w:val="CB340FF9"/>
    <w:rsid w:val="CBFFFECB"/>
    <w:rsid w:val="CF5F3C76"/>
    <w:rsid w:val="CFC37AE3"/>
    <w:rsid w:val="CFCF4378"/>
    <w:rsid w:val="CFEF33B0"/>
    <w:rsid w:val="CFF65123"/>
    <w:rsid w:val="CFF8DECE"/>
    <w:rsid w:val="D73AD7DC"/>
    <w:rsid w:val="DAF7B794"/>
    <w:rsid w:val="DCFFC7DA"/>
    <w:rsid w:val="DD27EE3C"/>
    <w:rsid w:val="DDBA4366"/>
    <w:rsid w:val="DDFBF5DC"/>
    <w:rsid w:val="DE11FC53"/>
    <w:rsid w:val="DE6F9D4D"/>
    <w:rsid w:val="DE7D17E3"/>
    <w:rsid w:val="DE7FE1BC"/>
    <w:rsid w:val="DEBF8F76"/>
    <w:rsid w:val="DF7ED54A"/>
    <w:rsid w:val="DF97DC17"/>
    <w:rsid w:val="DFBDD0B0"/>
    <w:rsid w:val="DFC35436"/>
    <w:rsid w:val="DFCBD6AE"/>
    <w:rsid w:val="DFD7763D"/>
    <w:rsid w:val="DFD96B7E"/>
    <w:rsid w:val="DFEDC74E"/>
    <w:rsid w:val="DFF55861"/>
    <w:rsid w:val="DFF69220"/>
    <w:rsid w:val="DFF6FC90"/>
    <w:rsid w:val="DFFE273C"/>
    <w:rsid w:val="DFFF4100"/>
    <w:rsid w:val="E3379851"/>
    <w:rsid w:val="E3BDB839"/>
    <w:rsid w:val="E4FFDC32"/>
    <w:rsid w:val="E53B485A"/>
    <w:rsid w:val="E5B7C707"/>
    <w:rsid w:val="E657A35C"/>
    <w:rsid w:val="E65DCF39"/>
    <w:rsid w:val="E7B66ED8"/>
    <w:rsid w:val="E7FBEB55"/>
    <w:rsid w:val="E9FEA61A"/>
    <w:rsid w:val="EB76D68E"/>
    <w:rsid w:val="EBB9FF58"/>
    <w:rsid w:val="EBF6182D"/>
    <w:rsid w:val="EBFFD9A2"/>
    <w:rsid w:val="EC6DDFA3"/>
    <w:rsid w:val="ECF73D77"/>
    <w:rsid w:val="EDFE06ED"/>
    <w:rsid w:val="EDFE3535"/>
    <w:rsid w:val="EDFFB8CE"/>
    <w:rsid w:val="EE7BDC30"/>
    <w:rsid w:val="EEE94709"/>
    <w:rsid w:val="EF5BEFA1"/>
    <w:rsid w:val="EFF11AC6"/>
    <w:rsid w:val="F0D74422"/>
    <w:rsid w:val="F1FF93C6"/>
    <w:rsid w:val="F2F7A314"/>
    <w:rsid w:val="F33F86FA"/>
    <w:rsid w:val="F3EF72B4"/>
    <w:rsid w:val="F3F7F6FB"/>
    <w:rsid w:val="F551BBA4"/>
    <w:rsid w:val="F55F552F"/>
    <w:rsid w:val="F56FE98B"/>
    <w:rsid w:val="F5F7AECF"/>
    <w:rsid w:val="F5FB699F"/>
    <w:rsid w:val="F67B4ABB"/>
    <w:rsid w:val="F6FD0327"/>
    <w:rsid w:val="F73FD98A"/>
    <w:rsid w:val="F785B677"/>
    <w:rsid w:val="F79BFADD"/>
    <w:rsid w:val="F7ADB44B"/>
    <w:rsid w:val="F7BB17D9"/>
    <w:rsid w:val="F7E773A7"/>
    <w:rsid w:val="F7F3D891"/>
    <w:rsid w:val="F7FD181E"/>
    <w:rsid w:val="F7FF56AE"/>
    <w:rsid w:val="F7FFBA43"/>
    <w:rsid w:val="F8E0F921"/>
    <w:rsid w:val="F8F0B3C6"/>
    <w:rsid w:val="F92C20D0"/>
    <w:rsid w:val="F9739605"/>
    <w:rsid w:val="F9BD7614"/>
    <w:rsid w:val="F9EBAEDB"/>
    <w:rsid w:val="FABF459C"/>
    <w:rsid w:val="FB317F09"/>
    <w:rsid w:val="FB753F9B"/>
    <w:rsid w:val="FBE7BA79"/>
    <w:rsid w:val="FBFB0BCD"/>
    <w:rsid w:val="FBFBF127"/>
    <w:rsid w:val="FBFE39B7"/>
    <w:rsid w:val="FCF183EF"/>
    <w:rsid w:val="FCF7EE51"/>
    <w:rsid w:val="FD7E4A48"/>
    <w:rsid w:val="FD9AA252"/>
    <w:rsid w:val="FDDD7FF3"/>
    <w:rsid w:val="FDDE23EF"/>
    <w:rsid w:val="FDE67FF7"/>
    <w:rsid w:val="FDF7108F"/>
    <w:rsid w:val="FDF74333"/>
    <w:rsid w:val="FDFD28B8"/>
    <w:rsid w:val="FEDF64A3"/>
    <w:rsid w:val="FEEFA244"/>
    <w:rsid w:val="FF07AA46"/>
    <w:rsid w:val="FF1FB1C8"/>
    <w:rsid w:val="FF2EF43B"/>
    <w:rsid w:val="FF3DCC43"/>
    <w:rsid w:val="FF6D16D2"/>
    <w:rsid w:val="FF720985"/>
    <w:rsid w:val="FF7A362E"/>
    <w:rsid w:val="FFAB512A"/>
    <w:rsid w:val="FFAD8402"/>
    <w:rsid w:val="FFAEAFBB"/>
    <w:rsid w:val="FFAF1D94"/>
    <w:rsid w:val="FFB5A8F6"/>
    <w:rsid w:val="FFB6D1BE"/>
    <w:rsid w:val="FFBDBCE1"/>
    <w:rsid w:val="FFCFD87C"/>
    <w:rsid w:val="FFD53D7A"/>
    <w:rsid w:val="FFD5CBD3"/>
    <w:rsid w:val="FFDCB75F"/>
    <w:rsid w:val="FFDFEDDF"/>
    <w:rsid w:val="FFEBA0D9"/>
    <w:rsid w:val="FFEFDF93"/>
    <w:rsid w:val="FFF68358"/>
    <w:rsid w:val="FFFC32AE"/>
    <w:rsid w:val="FFFF5553"/>
    <w:rsid w:val="FFFFB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408</Words>
  <Characters>415</Characters>
  <Lines>0</Lines>
  <Paragraphs>0</Paragraphs>
  <TotalTime>1</TotalTime>
  <ScaleCrop>false</ScaleCrop>
  <LinksUpToDate>false</LinksUpToDate>
  <CharactersWithSpaces>415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2025-01-08T09:41:01Z</cp:lastPrinted>
  <dcterms:modified xsi:type="dcterms:W3CDTF">2025-02-18T11:50:37Z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3F24610DD4FF4DA8BC5A49EDE17A2575_13</vt:lpwstr>
  </property>
  <property fmtid="{D5CDD505-2E9C-101B-9397-08002B2CF9AE}" pid="4" name="KSOTemplateDocerSaveRecord">
    <vt:lpwstr>eyJoZGlkIjoiZDAwZTQwNWFkMTMzYjY2N2ViN2IzZjk0MWI2YzIyZjUiLCJ1c2VySWQiOiI0MDM2MzEwMjQifQ==</vt:lpwstr>
  </property>
</Properties>
</file>