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8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医疗器械</w:t>
      </w:r>
      <w:r>
        <w:rPr>
          <w:rFonts w:hint="eastAsia" w:eastAsia="方正小标宋_GBK" w:cs="Times New Roman"/>
          <w:sz w:val="44"/>
          <w:szCs w:val="44"/>
        </w:rPr>
        <w:t>质量安全风险排查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台账</w:t>
      </w:r>
      <w:r>
        <w:rPr>
          <w:rFonts w:hint="eastAsia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第一季度</w:t>
      </w:r>
      <w:r>
        <w:rPr>
          <w:rFonts w:hint="eastAsia" w:eastAsia="方正小标宋_GBK" w:cs="Times New Roman"/>
          <w:sz w:val="44"/>
          <w:szCs w:val="44"/>
          <w:lang w:eastAsia="zh-CN"/>
        </w:rPr>
        <w:t>）</w:t>
      </w:r>
    </w:p>
    <w:p w14:paraId="68BD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eastAsia="zh-CN"/>
        </w:rPr>
      </w:pPr>
    </w:p>
    <w:tbl>
      <w:tblPr>
        <w:tblStyle w:val="5"/>
        <w:tblW w:w="14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6"/>
        <w:gridCol w:w="1680"/>
        <w:gridCol w:w="1797"/>
        <w:gridCol w:w="1636"/>
        <w:gridCol w:w="1303"/>
        <w:gridCol w:w="1770"/>
        <w:gridCol w:w="3003"/>
        <w:gridCol w:w="826"/>
        <w:gridCol w:w="702"/>
      </w:tblGrid>
      <w:tr w14:paraId="56BD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 w14:paraId="70B0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新疆恒安医药连锁有限公司额敏县大众第十三分店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楚老大造口皮肤保护剂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1.第一类医疗器械说明书、标签内容与经备案的相关内容不一致；2.第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一类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、第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二类医疗器械混放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1.责令改正违法行为，给予没收违法经营的产品及违法所得，并处罚款的行政处罚。2.持续开展《医疗器械经营质量管理规范》宣传培训，压实经营企业质量安全主体责任。3、加大日常监督检查力度，全力排查化解风险隐患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6AA7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新疆康宁医药连锁有限责任公司额敏县第523店、新疆康宁医药连锁有限责任公司额敏县第527店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梵密灵金银花花露水（造口皮肤保护剂）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第一类医疗器械说明书、标签内容与经备案的相关内容不一致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1.责令改正违法行为，给予没收违法经营的产品及违法所得，并处罚款的行政处罚。2.持续开展《医疗器械经营质量管理规范》宣传培训，压实经营企业质量安全主体责任。3、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370C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新疆恒安医药连锁有限公司额敏县友好新城分店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、额敏县康源大药房有限责任公司、白杨市满江红大药房连锁有限公司第十一分店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1.一类、二类医疗器械混放；2.医疗器械与消毒产品混放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责令企业严格执行分类分区陈列管理制度，立即改正违规行为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。2.要求企业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加大对《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医疗器械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监督管理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条例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》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的培训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16A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新疆维之康天合家苑医药连锁店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、额敏县颐仁堂医药第一百零三店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医疗器械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与保健食品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混放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限期整改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责令企业严格执行分类分区陈列管理制度，立即改正违规行为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。2.要求企业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加大对《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医疗器械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监督管理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条例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》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的培训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3754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额敏县人民医院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一次性使用避光延长管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避光延长管接头与管体连接处渗漏，药液外漏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暂停使用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1.暂停使用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一次性使用避光延长管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，并与供货商联系确认；2、加大不良事件监测力度，提升不良事件的监测能力。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不良反应监测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</w:tbl>
    <w:p w14:paraId="721101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948" w:firstLineChars="300"/>
        <w:jc w:val="left"/>
        <w:textAlignment w:val="auto"/>
        <w:rPr>
          <w:rFonts w:hint="eastAsia" w:eastAsia="仿宋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2098" w:bottom="1134" w:left="1985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396C"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F5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94333"/>
    <w:rsid w:val="008A5385"/>
    <w:rsid w:val="008D6331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01542565"/>
    <w:rsid w:val="02BD0A67"/>
    <w:rsid w:val="05FE00F8"/>
    <w:rsid w:val="066E5DC7"/>
    <w:rsid w:val="085C6DDC"/>
    <w:rsid w:val="0A3705CD"/>
    <w:rsid w:val="0B3D0F6E"/>
    <w:rsid w:val="0EFE1851"/>
    <w:rsid w:val="112D278C"/>
    <w:rsid w:val="14004AE0"/>
    <w:rsid w:val="14FC7513"/>
    <w:rsid w:val="1CB53980"/>
    <w:rsid w:val="1CF73D0C"/>
    <w:rsid w:val="1DBD3AF2"/>
    <w:rsid w:val="1F3AE776"/>
    <w:rsid w:val="24280578"/>
    <w:rsid w:val="26B741BD"/>
    <w:rsid w:val="27B2F7BA"/>
    <w:rsid w:val="28217CBE"/>
    <w:rsid w:val="284F27C4"/>
    <w:rsid w:val="2C3F9C2C"/>
    <w:rsid w:val="303A67E9"/>
    <w:rsid w:val="33A712D3"/>
    <w:rsid w:val="351D489A"/>
    <w:rsid w:val="35825DA8"/>
    <w:rsid w:val="35FC8CFB"/>
    <w:rsid w:val="37684288"/>
    <w:rsid w:val="37A55DB4"/>
    <w:rsid w:val="387F7562"/>
    <w:rsid w:val="3A437C28"/>
    <w:rsid w:val="3BDFAC3E"/>
    <w:rsid w:val="3BFBB287"/>
    <w:rsid w:val="3EFFAEB6"/>
    <w:rsid w:val="46623AC6"/>
    <w:rsid w:val="4688351F"/>
    <w:rsid w:val="48A47656"/>
    <w:rsid w:val="4AE10637"/>
    <w:rsid w:val="4F1E5424"/>
    <w:rsid w:val="4F5763CD"/>
    <w:rsid w:val="4FBB36DE"/>
    <w:rsid w:val="50F00271"/>
    <w:rsid w:val="51580C47"/>
    <w:rsid w:val="53A50694"/>
    <w:rsid w:val="55F44939"/>
    <w:rsid w:val="561642B4"/>
    <w:rsid w:val="56E137CA"/>
    <w:rsid w:val="5871353B"/>
    <w:rsid w:val="5EF791C5"/>
    <w:rsid w:val="5F7E4188"/>
    <w:rsid w:val="618463C1"/>
    <w:rsid w:val="62DCE3B0"/>
    <w:rsid w:val="65A655F2"/>
    <w:rsid w:val="66A97137"/>
    <w:rsid w:val="675F1683"/>
    <w:rsid w:val="67BE7E74"/>
    <w:rsid w:val="697F2EEA"/>
    <w:rsid w:val="69B3030C"/>
    <w:rsid w:val="6BE301EE"/>
    <w:rsid w:val="6CC21D44"/>
    <w:rsid w:val="6E4F3F33"/>
    <w:rsid w:val="6E5AB8C2"/>
    <w:rsid w:val="6FF3E3EA"/>
    <w:rsid w:val="71820F7E"/>
    <w:rsid w:val="72D38E09"/>
    <w:rsid w:val="758901B3"/>
    <w:rsid w:val="767613F8"/>
    <w:rsid w:val="777C26CF"/>
    <w:rsid w:val="77B23C5D"/>
    <w:rsid w:val="77E9EEF6"/>
    <w:rsid w:val="79160FD5"/>
    <w:rsid w:val="79FF641C"/>
    <w:rsid w:val="7B4A16C5"/>
    <w:rsid w:val="7C7FD987"/>
    <w:rsid w:val="7D5E6202"/>
    <w:rsid w:val="7DB62126"/>
    <w:rsid w:val="7EB8D531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987</Words>
  <Characters>1009</Characters>
  <Lines>34</Lines>
  <Paragraphs>9</Paragraphs>
  <TotalTime>0</TotalTime>
  <ScaleCrop>false</ScaleCrop>
  <LinksUpToDate>false</LinksUpToDate>
  <CharactersWithSpaces>1818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WPS_1688897503</cp:lastModifiedBy>
  <cp:lastPrinted>2025-05-30T09:22:00Z</cp:lastPrinted>
  <dcterms:modified xsi:type="dcterms:W3CDTF">2026-03-23T02:54:16Z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C19373034990435DB0245F3F42236552</vt:lpwstr>
  </property>
  <property fmtid="{D5CDD505-2E9C-101B-9397-08002B2CF9AE}" pid="4" name="KSOTemplateDocerSaveRecord">
    <vt:lpwstr>eyJoZGlkIjoiYzQyMzQxNzU0NDBmOTU4ZmQxOGExNmZjNTU5NDg4MWYiLCJ1c2VySWQiOiIxNTExOTM5MTE2In0=</vt:lpwstr>
  </property>
</Properties>
</file>