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bCs/>
          <w:sz w:val="10"/>
          <w:szCs w:val="10"/>
        </w:rPr>
      </w:pPr>
      <w:bookmarkStart w:id="0" w:name="OLE_LINK2"/>
      <w:bookmarkStart w:id="1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行政处罚</w:t>
      </w:r>
      <w:bookmarkStart w:id="5" w:name="_GoBack"/>
      <w:bookmarkEnd w:id="5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决定书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eastAsia="仿宋_GB2312"/>
          <w:sz w:val="24"/>
          <w:lang w:eastAsia="zh-CN"/>
        </w:rPr>
      </w:pPr>
      <w:bookmarkStart w:id="2" w:name="OLE_LINK5"/>
      <w:r>
        <w:rPr>
          <w:rFonts w:hint="eastAsia" w:ascii="仿宋_GB2312" w:eastAsia="仿宋_GB2312"/>
          <w:sz w:val="28"/>
          <w:szCs w:val="28"/>
          <w:lang w:eastAsia="zh-CN"/>
        </w:rPr>
        <w:t>额自然资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规</w:t>
      </w:r>
      <w:r>
        <w:rPr>
          <w:rFonts w:hint="eastAsia" w:ascii="仿宋_GB2312" w:eastAsia="仿宋_GB2312"/>
          <w:sz w:val="28"/>
          <w:szCs w:val="28"/>
        </w:rPr>
        <w:t>罚字</w:t>
      </w:r>
      <w:r>
        <w:rPr>
          <w:rFonts w:hint="eastAsia" w:ascii="仿宋_GB2312" w:eastAsia="仿宋_GB2312"/>
          <w:sz w:val="28"/>
          <w:szCs w:val="28"/>
          <w:lang w:eastAsia="zh-CN"/>
        </w:rPr>
        <w:t>〔202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lang w:eastAsia="zh-CN"/>
        </w:rPr>
        <w:t>〕02号</w:t>
      </w:r>
      <w:bookmarkEnd w:id="2"/>
      <w:r>
        <w:rPr>
          <w:rFonts w:hint="eastAsia" w:ascii="仿宋_GB2312" w:eastAsia="仿宋_GB2312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宋体" w:eastAsia="仿宋_GB2312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新疆利邦房地产开发有限公司：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你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公司于2025年4月15日在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额敏县启丰小区以东、友好路以南、饮服公司家属楼以北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未办理《建设工程规划许可证》的情况下开始动工建设绿洲苑商住楼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储藏室负1层已建设完成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，违法建筑面积718.37平方米，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该行为</w:t>
      </w:r>
      <w:r>
        <w:rPr>
          <w:rFonts w:hint="eastAsia" w:ascii="仿宋_GB2312" w:eastAsia="仿宋_GB2312"/>
          <w:sz w:val="32"/>
          <w:szCs w:val="32"/>
          <w:u w:val="none"/>
        </w:rPr>
        <w:t>违反了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《中华人民共和国城乡规划法》第四十条第一款及《新疆维吾尔自治区实施&lt;中华人民共和国城乡规划法&gt;办法》第四十条的规定。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上述违法事实有下列证据证实：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1、《居民身份证》复印件1份、《法人证书》复印件1份，证明本案中的违法当事人是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新疆利邦房地产开发有限公司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2、《询问笔录》1份，证明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陈述未取得规划许可建设的经过及事实情况；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3、《房地产评估报告》1份，证明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当事人未取得规划许可证建设项目违法建筑面积及工程总价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现场勘测笔录1份，证明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未取得工程规划许可建设的面积及建设状态；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现场照片4张，证明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未取得规划许可进行建设的建设程度；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额敏县自然资源局已于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5月26日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依法向你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进行了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行政处罚告知和听证告知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未提出书面陈述或申辩意见，也未要求举行听证。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根据《中华人民共和国城乡规划法》第六十四条、《新疆维吾尔自治区实施&lt;中华人民共和国城乡规划法&gt;办法》第五十七条的规定，</w:t>
      </w:r>
      <w:r>
        <w:rPr>
          <w:rFonts w:hint="eastAsia" w:ascii="仿宋_GB2312" w:hAnsi="仿宋" w:eastAsia="仿宋_GB2312"/>
          <w:sz w:val="32"/>
          <w:szCs w:val="32"/>
        </w:rPr>
        <w:t>决定处罚如下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处未取得规划许可证规定建设项目造价7% 的罚款：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1141500元×7% =79905元（柒万玖仟玖佰零伍元整）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行政处罚的履行方式和期限：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根据《中华人民共和国行政处罚法》第六十七条第三款的规定，当事人应当自收到本行政处罚决定书之日起十五日内，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将罚款交至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额敏县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行政服务中心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楼自然资源局不动产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登记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窗口。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到期不缴纳罚款的，每日按罚款数额的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3%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加处罚款。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本决定送达当事人，即发生法律效力。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如不服本处罚决定，可以在收到本处罚决定书之日起六十日内向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额敏县人民政府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申请行政复议，或者六个月内直接向额敏县人民法院提起诉讼。逾期不申请行政复议，不提起行政诉讼，又不履行本行政处罚决定的，我局将依法申请人民法院强制执行。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联系人: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孟丽君、黄淑兰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电话：0902-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3341530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地址：额敏县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文化路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bookmarkStart w:id="3" w:name="OLE_LINK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bookmarkStart w:id="4" w:name="OLE_LINK4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额敏县自然资源局</w:t>
      </w:r>
    </w:p>
    <w:bookmarkEnd w:id="3"/>
    <w:bookmarkEnd w:id="4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6月4日</w:t>
      </w:r>
    </w:p>
    <w:bookmarkEnd w:id="1"/>
    <w:p>
      <w:pPr>
        <w:keepNext w:val="0"/>
        <w:keepLines w:val="0"/>
        <w:pageBreakBefore w:val="0"/>
        <w:widowControl/>
        <w:kinsoku/>
        <w:wordWrap/>
        <w:topLinePunct w:val="0"/>
        <w:bidi w:val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D2C30"/>
    <w:rsid w:val="3ECD2C30"/>
    <w:rsid w:val="4DA604EA"/>
    <w:rsid w:val="6728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848</Words>
  <Characters>893</Characters>
  <Lines>0</Lines>
  <Paragraphs>0</Paragraphs>
  <TotalTime>9</TotalTime>
  <ScaleCrop>false</ScaleCrop>
  <LinksUpToDate>false</LinksUpToDate>
  <CharactersWithSpaces>963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2025-06-11T04:39:00Z</dcterms:created>
  <dc:creator>孟丽君</dc:creator>
  <cp:lastModifiedBy>Administrator</cp:lastModifiedBy>
  <cp:lastPrinted>2025-06-11T04:59:00Z</cp:lastPrinted>
  <dcterms:modified xsi:type="dcterms:W3CDTF">2025-06-12T05:24:39Z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C3EF7964EEF544C5BDE34D57A7D9EABA_13</vt:lpwstr>
  </property>
  <property fmtid="{D5CDD505-2E9C-101B-9397-08002B2CF9AE}" pid="4" name="KSOTemplateDocerSaveRecord">
    <vt:lpwstr>eyJoZGlkIjoiMGQ3Y2IyMGI4YzBmZjRlY2JlYjcxMTViNGZkODhlMTIifQ==</vt:lpwstr>
  </property>
</Properties>
</file>