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after="0" w:line="580" w:lineRule="exact"/>
        <w:ind w:firstLine="2827" w:firstLineChars="640"/>
        <w:jc w:val="both"/>
        <w:textAlignment w:val="auto"/>
        <w:rPr>
          <w:rFonts w:hint="eastAsia" w:ascii="仿宋_GB2312" w:hAnsi="仿宋_GB2312" w:eastAsia="仿宋_GB2312" w:cs="仿宋_GB2312"/>
          <w:b/>
          <w:sz w:val="44"/>
          <w:szCs w:val="44"/>
          <w:u w:val="none"/>
        </w:rPr>
      </w:pPr>
      <w:bookmarkStart w:id="0" w:name="OLE_LINK2"/>
      <w:bookmarkStart w:id="1" w:name="OLE_LINK1"/>
      <w:r>
        <w:rPr>
          <w:rFonts w:hint="eastAsia" w:ascii="宋体" w:hAnsi="宋体" w:eastAsia="宋体" w:cs="宋体"/>
          <w:b/>
          <w:sz w:val="44"/>
          <w:szCs w:val="44"/>
          <w:u w:val="none"/>
        </w:rPr>
        <w:t>行政处罚决定书</w:t>
      </w:r>
      <w:bookmarkEnd w:id="0"/>
    </w:p>
    <w:p>
      <w:pPr>
        <w:keepNext w:val="0"/>
        <w:keepLines w:val="0"/>
        <w:pageBreakBefore w:val="0"/>
        <w:kinsoku/>
        <w:wordWrap/>
        <w:overflowPunct/>
        <w:topLinePunct w:val="0"/>
        <w:autoSpaceDE/>
        <w:autoSpaceDN/>
        <w:bidi w:val="0"/>
        <w:spacing w:after="0" w:line="580" w:lineRule="exact"/>
        <w:ind w:firstLine="3920" w:firstLineChars="1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8"/>
          <w:szCs w:val="28"/>
          <w:u w:val="none"/>
        </w:rPr>
        <w:t>编号：</w:t>
      </w:r>
      <w:bookmarkStart w:id="3" w:name="_GoBack"/>
      <w:bookmarkEnd w:id="3"/>
      <w:bookmarkStart w:id="2" w:name="OLE_LINK3"/>
      <w:r>
        <w:rPr>
          <w:rFonts w:hint="eastAsia" w:ascii="仿宋_GB2312" w:hAnsi="仿宋_GB2312" w:eastAsia="仿宋_GB2312" w:cs="仿宋_GB2312"/>
          <w:sz w:val="28"/>
          <w:szCs w:val="28"/>
          <w:u w:val="none"/>
        </w:rPr>
        <w:t>额自然资</w:t>
      </w:r>
      <w:r>
        <w:rPr>
          <w:rFonts w:hint="eastAsia" w:ascii="仿宋_GB2312" w:hAnsi="仿宋_GB2312" w:eastAsia="仿宋_GB2312" w:cs="仿宋_GB2312"/>
          <w:sz w:val="28"/>
          <w:szCs w:val="28"/>
          <w:u w:val="none"/>
          <w:lang w:eastAsia="zh-CN"/>
        </w:rPr>
        <w:t>罚字</w:t>
      </w:r>
      <w:r>
        <w:rPr>
          <w:rFonts w:hint="eastAsia" w:ascii="仿宋_GB2312" w:hAnsi="仿宋_GB2312" w:eastAsia="仿宋_GB2312" w:cs="仿宋_GB2312"/>
          <w:sz w:val="28"/>
          <w:szCs w:val="28"/>
          <w:u w:val="none"/>
        </w:rPr>
        <w:t>〔202</w:t>
      </w:r>
      <w:r>
        <w:rPr>
          <w:rFonts w:hint="eastAsia" w:ascii="仿宋_GB2312" w:hAnsi="仿宋_GB2312" w:eastAsia="仿宋_GB2312" w:cs="仿宋_GB2312"/>
          <w:sz w:val="28"/>
          <w:szCs w:val="28"/>
          <w:u w:val="none"/>
          <w:lang w:val="en-US" w:eastAsia="zh-CN"/>
        </w:rPr>
        <w:t>5</w:t>
      </w:r>
      <w:r>
        <w:rPr>
          <w:rFonts w:hint="eastAsia" w:ascii="仿宋_GB2312" w:hAnsi="仿宋_GB2312" w:eastAsia="仿宋_GB2312" w:cs="仿宋_GB2312"/>
          <w:sz w:val="28"/>
          <w:szCs w:val="28"/>
          <w:u w:val="none"/>
        </w:rPr>
        <w:t>〕</w:t>
      </w:r>
      <w:r>
        <w:rPr>
          <w:rFonts w:hint="eastAsia" w:ascii="仿宋_GB2312" w:hAnsi="仿宋_GB2312" w:eastAsia="仿宋_GB2312" w:cs="仿宋_GB2312"/>
          <w:sz w:val="28"/>
          <w:szCs w:val="28"/>
          <w:u w:val="none"/>
          <w:lang w:val="en-US" w:eastAsia="zh-CN"/>
        </w:rPr>
        <w:t>01</w:t>
      </w:r>
      <w:r>
        <w:rPr>
          <w:rFonts w:hint="eastAsia" w:ascii="仿宋_GB2312" w:hAnsi="仿宋_GB2312" w:eastAsia="仿宋_GB2312" w:cs="仿宋_GB2312"/>
          <w:sz w:val="28"/>
          <w:szCs w:val="28"/>
          <w:u w:val="none"/>
        </w:rPr>
        <w:t>号</w:t>
      </w:r>
    </w:p>
    <w:bookmarkEnd w:id="2"/>
    <w:p>
      <w:pPr>
        <w:keepNext w:val="0"/>
        <w:keepLines w:val="0"/>
        <w:pageBreakBefore w:val="0"/>
        <w:kinsoku/>
        <w:wordWrap/>
        <w:overflowPunct/>
        <w:topLinePunct w:val="0"/>
        <w:autoSpaceDE/>
        <w:autoSpaceDN/>
        <w:bidi w:val="0"/>
        <w:spacing w:after="0" w:line="580" w:lineRule="exact"/>
        <w:jc w:val="both"/>
        <w:textAlignment w:val="auto"/>
        <w:rPr>
          <w:rFonts w:hint="eastAsia" w:ascii="仿宋" w:hAnsi="仿宋" w:eastAsia="仿宋" w:cs="仿宋"/>
          <w:sz w:val="32"/>
          <w:szCs w:val="32"/>
          <w:u w:val="none"/>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color w:val="FF0000"/>
          <w:sz w:val="32"/>
          <w:szCs w:val="32"/>
          <w:lang w:val="en-US" w:eastAsia="zh-CN"/>
        </w:rPr>
      </w:pPr>
      <w:r>
        <w:rPr>
          <w:rFonts w:hint="eastAsia" w:ascii="仿宋" w:hAnsi="仿宋" w:eastAsia="仿宋" w:cs="仿宋"/>
          <w:sz w:val="32"/>
          <w:szCs w:val="32"/>
          <w:u w:val="none"/>
          <w:lang w:val="en-US" w:eastAsia="zh-CN"/>
        </w:rPr>
        <w:t>额敏县自然资源局于2025年2月24日对胡某某擅自在额敏县玛热勒苏镇张四化烘干厂西侧300米左右处废弃砂场处采挖砂石料行为，胡某某陈述采挖砂石料约1200立方米，经额敏县自然资源局委托第三方测绘公司对当事人指认的采坑进行勘测，采坑总填方量为1426.65立方米，当事人采挖砂石料用于维修高标准农田道路，当事人未办理采挖砂石料手续。</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color w:val="FF0000"/>
          <w:sz w:val="32"/>
          <w:szCs w:val="32"/>
          <w:lang w:val="en-US" w:eastAsia="zh-CN"/>
        </w:rPr>
      </w:pPr>
      <w:r>
        <w:rPr>
          <w:rFonts w:hint="eastAsia" w:ascii="仿宋" w:hAnsi="仿宋" w:eastAsia="仿宋" w:cs="仿宋"/>
          <w:sz w:val="32"/>
          <w:szCs w:val="32"/>
          <w:u w:val="none"/>
          <w:lang w:val="en-US" w:eastAsia="zh-CN"/>
        </w:rPr>
        <w:t>该行为涉嫌违反了《中华人民共和国矿产资源法》第三条和《中华人民共和国矿产资源法实施细则》第五条的规定。</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上述违法事实有下列证据证实：</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rPr>
          <w:rFonts w:hint="eastAsia" w:ascii="仿宋" w:hAnsi="仿宋" w:eastAsia="仿宋" w:cs="仿宋"/>
          <w:sz w:val="32"/>
          <w:szCs w:val="32"/>
          <w:u w:val="none"/>
          <w:lang w:eastAsia="zh-CN"/>
        </w:rPr>
      </w:pPr>
      <w:r>
        <w:rPr>
          <w:rFonts w:hint="eastAsia" w:ascii="仿宋" w:hAnsi="仿宋" w:eastAsia="仿宋" w:cs="仿宋"/>
          <w:sz w:val="32"/>
          <w:szCs w:val="32"/>
          <w:u w:val="none"/>
          <w:lang w:val="en-US" w:eastAsia="zh-CN"/>
        </w:rPr>
        <w:t>1、胡某某《居民身份证》1份、胡某某于娄某、胡某某于郭某某合同书2份、证明该项目霍吉尔特新建村高标准农田已于2023年建设完毕，2024年为补修道路，转账记录（2张），证明本案中违法当事人是胡某某</w:t>
      </w:r>
      <w:r>
        <w:rPr>
          <w:rFonts w:hint="eastAsia" w:ascii="仿宋" w:hAnsi="仿宋" w:eastAsia="仿宋" w:cs="仿宋"/>
          <w:sz w:val="32"/>
          <w:szCs w:val="32"/>
          <w:u w:val="none"/>
          <w:lang w:eastAsia="zh-CN"/>
        </w:rPr>
        <w:t>；</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2、《询问笔录》1份，证明胡某某无证采挖砂石料的陈述情况；</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3、现场勘验笔录1份，证明胡某某无证开采砂石料</w:t>
      </w:r>
      <w:r>
        <w:rPr>
          <w:rFonts w:hint="eastAsia" w:ascii="仿宋" w:hAnsi="仿宋" w:eastAsia="仿宋" w:cs="仿宋"/>
          <w:sz w:val="32"/>
          <w:szCs w:val="32"/>
          <w:lang w:val="en-US" w:eastAsia="zh-CN"/>
        </w:rPr>
        <w:t>采坑总填方量为1426.65立方米（第三方测绘）</w:t>
      </w:r>
      <w:r>
        <w:rPr>
          <w:rFonts w:hint="eastAsia" w:ascii="仿宋" w:hAnsi="仿宋" w:eastAsia="仿宋" w:cs="仿宋"/>
          <w:sz w:val="32"/>
          <w:szCs w:val="32"/>
          <w:u w:val="none"/>
          <w:lang w:val="en-US" w:eastAsia="zh-CN"/>
        </w:rPr>
        <w:t>；</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4、《鉴定意见书》一份，证明胡某某开采粘土区域的市场价格为每立方米23元（额敏县价格认定中心）；</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rPr>
        <w:t>、</w:t>
      </w:r>
      <w:r>
        <w:rPr>
          <w:rFonts w:hint="eastAsia" w:ascii="仿宋" w:hAnsi="仿宋" w:eastAsia="仿宋" w:cs="仿宋"/>
          <w:sz w:val="32"/>
          <w:szCs w:val="32"/>
          <w:u w:val="none"/>
          <w:lang w:val="en-US" w:eastAsia="zh-CN"/>
        </w:rPr>
        <w:t>现场照片4张，证明胡某某无证采挖砂石料开采区域的现状情况；</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额敏县自然资源局已于2025年4月15日依法向你送达了《行政处罚告知书》（额自然资罚告字〔2025〕01号）和《行政处罚听证告知书》（额自然资听告字〔2025〕01号），你在法定期限内未向额敏县自然资源局提出陈述、申辩意见，也未要求举行听证。</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根据《中华人民共和国矿产资源法》第四十条和《中华人民共和国矿产资源法实施细则》第四十二条第二项及关于印发《新疆维吾尔自治区规范自然资源行政处罚裁量权办法》的通知（新自然资规〔2022〕4号）文件的规定，</w:t>
      </w:r>
      <w:r>
        <w:rPr>
          <w:rFonts w:hint="eastAsia" w:ascii="仿宋" w:hAnsi="仿宋" w:eastAsia="仿宋" w:cs="仿宋"/>
          <w:sz w:val="32"/>
          <w:szCs w:val="32"/>
          <w:u w:val="none"/>
        </w:rPr>
        <w:t>处罚决定如下：</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1、没收</w:t>
      </w:r>
      <w:r>
        <w:rPr>
          <w:rFonts w:hint="eastAsia" w:ascii="仿宋" w:hAnsi="仿宋" w:eastAsia="仿宋" w:cs="仿宋"/>
          <w:sz w:val="32"/>
          <w:szCs w:val="32"/>
          <w:u w:val="none"/>
          <w:lang w:eastAsia="zh-CN"/>
        </w:rPr>
        <w:t>当事人</w:t>
      </w:r>
      <w:r>
        <w:rPr>
          <w:rFonts w:hint="eastAsia" w:ascii="仿宋" w:hAnsi="仿宋" w:eastAsia="仿宋" w:cs="仿宋"/>
          <w:sz w:val="32"/>
          <w:szCs w:val="32"/>
          <w:u w:val="none"/>
        </w:rPr>
        <w:t>违法所得：</w:t>
      </w:r>
      <w:r>
        <w:rPr>
          <w:rFonts w:hint="eastAsia" w:ascii="仿宋" w:hAnsi="仿宋" w:eastAsia="仿宋" w:cs="仿宋"/>
          <w:sz w:val="32"/>
          <w:szCs w:val="32"/>
          <w:u w:val="none"/>
          <w:lang w:val="en-US" w:eastAsia="zh-CN"/>
        </w:rPr>
        <w:t>1426.65</w:t>
      </w:r>
      <w:r>
        <w:rPr>
          <w:rFonts w:hint="eastAsia" w:ascii="仿宋" w:hAnsi="仿宋" w:eastAsia="仿宋" w:cs="仿宋"/>
          <w:sz w:val="32"/>
          <w:szCs w:val="32"/>
          <w:u w:val="none"/>
        </w:rPr>
        <w:t>立方米×</w:t>
      </w:r>
      <w:r>
        <w:rPr>
          <w:rFonts w:hint="eastAsia" w:ascii="仿宋" w:hAnsi="仿宋" w:eastAsia="仿宋" w:cs="仿宋"/>
          <w:sz w:val="32"/>
          <w:szCs w:val="32"/>
          <w:u w:val="none"/>
          <w:lang w:val="en-US" w:eastAsia="zh-CN"/>
        </w:rPr>
        <w:t>23</w:t>
      </w:r>
      <w:r>
        <w:rPr>
          <w:rFonts w:hint="eastAsia" w:ascii="仿宋" w:hAnsi="仿宋" w:eastAsia="仿宋" w:cs="仿宋"/>
          <w:sz w:val="32"/>
          <w:szCs w:val="32"/>
          <w:u w:val="none"/>
        </w:rPr>
        <w:t>元/立方米=</w:t>
      </w:r>
      <w:r>
        <w:rPr>
          <w:rFonts w:hint="eastAsia" w:ascii="仿宋" w:hAnsi="仿宋" w:eastAsia="仿宋" w:cs="仿宋"/>
          <w:sz w:val="32"/>
          <w:szCs w:val="32"/>
          <w:u w:val="none"/>
          <w:lang w:val="en-US" w:eastAsia="zh-CN"/>
        </w:rPr>
        <w:t>32812.95</w:t>
      </w:r>
      <w:r>
        <w:rPr>
          <w:rFonts w:hint="eastAsia" w:ascii="仿宋" w:hAnsi="仿宋" w:eastAsia="仿宋" w:cs="仿宋"/>
          <w:sz w:val="32"/>
          <w:szCs w:val="32"/>
          <w:u w:val="none"/>
        </w:rPr>
        <w:t>元。</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2</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对</w:t>
      </w:r>
      <w:r>
        <w:rPr>
          <w:rFonts w:hint="eastAsia" w:ascii="仿宋" w:hAnsi="仿宋" w:eastAsia="仿宋" w:cs="仿宋"/>
          <w:sz w:val="32"/>
          <w:szCs w:val="32"/>
          <w:u w:val="none"/>
          <w:lang w:eastAsia="zh-CN"/>
        </w:rPr>
        <w:t>当事人</w:t>
      </w:r>
      <w:r>
        <w:rPr>
          <w:rFonts w:hint="eastAsia" w:ascii="仿宋" w:hAnsi="仿宋" w:eastAsia="仿宋" w:cs="仿宋"/>
          <w:sz w:val="32"/>
          <w:szCs w:val="32"/>
          <w:u w:val="none"/>
        </w:rPr>
        <w:t>处以违法所得</w:t>
      </w:r>
      <w:r>
        <w:rPr>
          <w:rFonts w:hint="eastAsia" w:ascii="仿宋" w:hAnsi="仿宋" w:eastAsia="仿宋" w:cs="仿宋"/>
          <w:sz w:val="32"/>
          <w:szCs w:val="32"/>
          <w:u w:val="none"/>
          <w:lang w:val="en-US" w:eastAsia="zh-CN"/>
        </w:rPr>
        <w:t>2</w:t>
      </w:r>
      <w:r>
        <w:rPr>
          <w:rFonts w:hint="eastAsia" w:ascii="仿宋" w:hAnsi="仿宋" w:eastAsia="仿宋" w:cs="仿宋"/>
          <w:sz w:val="32"/>
          <w:szCs w:val="32"/>
          <w:u w:val="none"/>
        </w:rPr>
        <w:t>0%罚款</w:t>
      </w:r>
      <w:r>
        <w:rPr>
          <w:rFonts w:hint="eastAsia" w:ascii="仿宋" w:hAnsi="仿宋" w:eastAsia="仿宋" w:cs="仿宋"/>
          <w:sz w:val="32"/>
          <w:szCs w:val="32"/>
          <w:u w:val="none"/>
          <w:lang w:eastAsia="zh-CN"/>
        </w:rPr>
        <w:t>，即：</w:t>
      </w:r>
      <w:r>
        <w:rPr>
          <w:rFonts w:hint="eastAsia" w:ascii="仿宋" w:hAnsi="仿宋" w:eastAsia="仿宋" w:cs="仿宋"/>
          <w:color w:val="auto"/>
          <w:sz w:val="32"/>
          <w:szCs w:val="32"/>
          <w:u w:val="none"/>
          <w:lang w:val="en-US" w:eastAsia="zh-CN"/>
        </w:rPr>
        <w:t>32812.95</w:t>
      </w:r>
      <w:r>
        <w:rPr>
          <w:rFonts w:hint="eastAsia" w:ascii="仿宋" w:hAnsi="仿宋" w:eastAsia="仿宋" w:cs="仿宋"/>
          <w:sz w:val="32"/>
          <w:szCs w:val="32"/>
          <w:u w:val="none"/>
        </w:rPr>
        <w:t>元×</w:t>
      </w:r>
      <w:r>
        <w:rPr>
          <w:rFonts w:hint="eastAsia" w:ascii="仿宋" w:hAnsi="仿宋" w:eastAsia="仿宋" w:cs="仿宋"/>
          <w:sz w:val="32"/>
          <w:szCs w:val="32"/>
          <w:u w:val="none"/>
          <w:lang w:val="en-US" w:eastAsia="zh-CN"/>
        </w:rPr>
        <w:t>20</w:t>
      </w:r>
      <w:r>
        <w:rPr>
          <w:rFonts w:hint="eastAsia" w:ascii="仿宋" w:hAnsi="仿宋" w:eastAsia="仿宋" w:cs="仿宋"/>
          <w:sz w:val="32"/>
          <w:szCs w:val="32"/>
          <w:u w:val="none"/>
        </w:rPr>
        <w:t>%=</w:t>
      </w:r>
      <w:r>
        <w:rPr>
          <w:rFonts w:hint="eastAsia" w:ascii="仿宋" w:hAnsi="仿宋" w:eastAsia="仿宋" w:cs="仿宋"/>
          <w:sz w:val="32"/>
          <w:szCs w:val="32"/>
          <w:u w:val="none"/>
          <w:lang w:val="en-US" w:eastAsia="zh-CN"/>
        </w:rPr>
        <w:t>6562.59</w:t>
      </w:r>
      <w:r>
        <w:rPr>
          <w:rFonts w:hint="eastAsia" w:ascii="仿宋" w:hAnsi="仿宋" w:eastAsia="仿宋" w:cs="仿宋"/>
          <w:sz w:val="32"/>
          <w:szCs w:val="32"/>
          <w:u w:val="none"/>
        </w:rPr>
        <w:t>元。</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u w:val="none"/>
          <w:lang w:eastAsia="zh-CN"/>
        </w:rPr>
      </w:pPr>
      <w:r>
        <w:rPr>
          <w:rFonts w:hint="eastAsia" w:ascii="仿宋" w:hAnsi="仿宋" w:eastAsia="仿宋" w:cs="仿宋"/>
          <w:sz w:val="32"/>
          <w:szCs w:val="32"/>
          <w:u w:val="none"/>
        </w:rPr>
        <w:t>两项合计</w:t>
      </w:r>
      <w:r>
        <w:rPr>
          <w:rFonts w:hint="eastAsia" w:ascii="仿宋" w:hAnsi="仿宋" w:eastAsia="仿宋" w:cs="仿宋"/>
          <w:sz w:val="32"/>
          <w:szCs w:val="32"/>
          <w:u w:val="none"/>
          <w:lang w:val="en-US" w:eastAsia="zh-CN"/>
        </w:rPr>
        <w:t>39376</w:t>
      </w:r>
      <w:r>
        <w:rPr>
          <w:rFonts w:hint="eastAsia" w:ascii="仿宋" w:hAnsi="仿宋" w:eastAsia="仿宋" w:cs="仿宋"/>
          <w:sz w:val="32"/>
          <w:szCs w:val="32"/>
          <w:u w:val="none"/>
        </w:rPr>
        <w:t>元。</w:t>
      </w:r>
      <w:r>
        <w:rPr>
          <w:rFonts w:hint="eastAsia" w:ascii="仿宋" w:hAnsi="仿宋" w:eastAsia="仿宋" w:cs="仿宋"/>
          <w:sz w:val="32"/>
          <w:szCs w:val="32"/>
          <w:u w:val="none"/>
          <w:lang w:eastAsia="zh-CN"/>
        </w:rPr>
        <w:t>（叁万玖仟叁佰柒拾陆元整）</w:t>
      </w:r>
    </w:p>
    <w:p>
      <w:pPr>
        <w:pStyle w:val="3"/>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 w:hAnsi="仿宋" w:eastAsia="仿宋" w:cs="仿宋"/>
          <w:sz w:val="32"/>
          <w:szCs w:val="32"/>
          <w:u w:val="none"/>
          <w:lang w:eastAsia="zh-CN"/>
        </w:rPr>
      </w:pPr>
      <w:r>
        <w:rPr>
          <w:rFonts w:hint="eastAsia" w:ascii="仿宋" w:hAnsi="仿宋" w:eastAsia="仿宋" w:cs="仿宋"/>
          <w:sz w:val="32"/>
          <w:szCs w:val="32"/>
          <w:u w:val="none"/>
        </w:rPr>
        <w:t>根据《中华人民共和国行政处罚法》第</w:t>
      </w:r>
      <w:r>
        <w:rPr>
          <w:rFonts w:hint="eastAsia" w:ascii="仿宋" w:hAnsi="仿宋" w:eastAsia="仿宋" w:cs="仿宋"/>
          <w:sz w:val="32"/>
          <w:szCs w:val="32"/>
          <w:u w:val="none"/>
          <w:lang w:eastAsia="zh-CN"/>
        </w:rPr>
        <w:t>六十七</w:t>
      </w:r>
      <w:r>
        <w:rPr>
          <w:rFonts w:hint="eastAsia" w:ascii="仿宋" w:hAnsi="仿宋" w:eastAsia="仿宋" w:cs="仿宋"/>
          <w:sz w:val="32"/>
          <w:szCs w:val="32"/>
          <w:u w:val="none"/>
        </w:rPr>
        <w:t>条第三款的规定，</w:t>
      </w:r>
      <w:r>
        <w:rPr>
          <w:rFonts w:hint="eastAsia" w:ascii="仿宋" w:hAnsi="仿宋" w:eastAsia="仿宋" w:cs="仿宋"/>
          <w:sz w:val="32"/>
          <w:szCs w:val="32"/>
          <w:u w:val="none"/>
          <w:lang w:eastAsia="zh-CN"/>
        </w:rPr>
        <w:t>胡某某</w:t>
      </w:r>
      <w:r>
        <w:rPr>
          <w:rFonts w:hint="eastAsia" w:ascii="仿宋" w:hAnsi="仿宋" w:eastAsia="仿宋" w:cs="仿宋"/>
          <w:sz w:val="32"/>
          <w:szCs w:val="32"/>
          <w:u w:val="none"/>
        </w:rPr>
        <w:t>应当自收到本行政处罚决定书之日起十五日内，将罚没款缴至</w:t>
      </w:r>
      <w:r>
        <w:rPr>
          <w:rFonts w:hint="eastAsia" w:ascii="仿宋" w:hAnsi="仿宋" w:eastAsia="仿宋" w:cs="仿宋"/>
          <w:sz w:val="32"/>
          <w:szCs w:val="32"/>
          <w:u w:val="none"/>
          <w:lang w:eastAsia="zh-CN"/>
        </w:rPr>
        <w:t>额敏县行政服务中心</w:t>
      </w:r>
      <w:r>
        <w:rPr>
          <w:rFonts w:hint="eastAsia" w:ascii="仿宋" w:hAnsi="仿宋" w:eastAsia="仿宋" w:cs="仿宋"/>
          <w:sz w:val="32"/>
          <w:szCs w:val="32"/>
          <w:u w:val="none"/>
          <w:lang w:val="en-US" w:eastAsia="zh-CN"/>
        </w:rPr>
        <w:t>2楼自然资源局不动产登记窗口，到期缴纳罚款的，每日按罚款数额的3％加处罚款</w:t>
      </w:r>
      <w:r>
        <w:rPr>
          <w:rFonts w:hint="eastAsia" w:ascii="仿宋" w:hAnsi="仿宋" w:eastAsia="仿宋" w:cs="仿宋"/>
          <w:color w:val="FF0000"/>
          <w:sz w:val="32"/>
          <w:szCs w:val="32"/>
          <w:u w:val="none"/>
        </w:rPr>
        <w:t>。</w:t>
      </w:r>
    </w:p>
    <w:p>
      <w:pPr>
        <w:pStyle w:val="3"/>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本决定书送达当事人，即发生法律效力。</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pacing w:val="-20"/>
          <w:sz w:val="32"/>
          <w:szCs w:val="32"/>
          <w:u w:val="none"/>
        </w:rPr>
      </w:pPr>
      <w:r>
        <w:rPr>
          <w:rFonts w:hint="eastAsia" w:ascii="仿宋" w:hAnsi="仿宋" w:eastAsia="仿宋" w:cs="仿宋"/>
          <w:kern w:val="2"/>
          <w:sz w:val="32"/>
          <w:szCs w:val="32"/>
          <w:u w:val="none"/>
          <w:lang w:val="en-US" w:eastAsia="zh-CN" w:bidi="ar-SA"/>
        </w:rPr>
        <w:t xml:space="preserve">胡某某如不服本处罚决定，可以在收到本处罚决定书之日起六十日内依法向额敏县人民政府申请行政复议，或者六个月内直接向额敏县人民法院提起诉讼。逾期不申请行政复议，不提起行政诉讼，又不履行本行政处罚决定的，额敏县自然资源局将依法申请人民法院强制执行。 </w:t>
      </w:r>
    </w:p>
    <w:p>
      <w:pPr>
        <w:pStyle w:val="3"/>
        <w:keepNext w:val="0"/>
        <w:keepLines w:val="0"/>
        <w:pageBreakBefore w:val="0"/>
        <w:kinsoku/>
        <w:wordWrap/>
        <w:overflowPunct/>
        <w:topLinePunct w:val="0"/>
        <w:autoSpaceDE/>
        <w:autoSpaceDN/>
        <w:bidi w:val="0"/>
        <w:spacing w:line="560" w:lineRule="exact"/>
        <w:ind w:firstLine="560" w:firstLineChars="200"/>
        <w:jc w:val="both"/>
        <w:textAlignment w:val="auto"/>
        <w:rPr>
          <w:rFonts w:hint="eastAsia" w:ascii="仿宋" w:hAnsi="仿宋" w:eastAsia="仿宋" w:cs="仿宋"/>
          <w:spacing w:val="-20"/>
          <w:sz w:val="32"/>
          <w:szCs w:val="32"/>
          <w:u w:val="none"/>
        </w:rPr>
      </w:pPr>
    </w:p>
    <w:p>
      <w:pPr>
        <w:pStyle w:val="3"/>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 w:hAnsi="仿宋" w:eastAsia="仿宋" w:cs="仿宋"/>
          <w:kern w:val="0"/>
          <w:sz w:val="32"/>
          <w:szCs w:val="32"/>
          <w:u w:val="none"/>
          <w:lang w:val="en-US" w:eastAsia="zh-CN" w:bidi="ar-SA"/>
        </w:rPr>
      </w:pPr>
      <w:r>
        <w:rPr>
          <w:rFonts w:hint="eastAsia" w:ascii="仿宋" w:hAnsi="仿宋" w:eastAsia="仿宋" w:cs="仿宋"/>
          <w:kern w:val="0"/>
          <w:sz w:val="32"/>
          <w:szCs w:val="32"/>
          <w:u w:val="none"/>
          <w:lang w:val="en-US" w:eastAsia="zh-CN" w:bidi="ar-SA"/>
        </w:rPr>
        <w:t>联系人：孟丽君 古丽娜拉·沙都</w:t>
      </w:r>
    </w:p>
    <w:p>
      <w:pPr>
        <w:pStyle w:val="3"/>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 w:hAnsi="仿宋" w:eastAsia="仿宋" w:cs="仿宋"/>
          <w:kern w:val="0"/>
          <w:sz w:val="32"/>
          <w:szCs w:val="32"/>
          <w:u w:val="none"/>
          <w:lang w:val="en-US" w:eastAsia="zh-CN" w:bidi="ar-SA"/>
        </w:rPr>
      </w:pPr>
      <w:r>
        <w:rPr>
          <w:rFonts w:hint="eastAsia" w:ascii="仿宋" w:hAnsi="仿宋" w:eastAsia="仿宋" w:cs="仿宋"/>
          <w:kern w:val="0"/>
          <w:sz w:val="32"/>
          <w:szCs w:val="32"/>
          <w:u w:val="none"/>
          <w:lang w:val="en-US" w:eastAsia="zh-CN" w:bidi="ar-SA"/>
        </w:rPr>
        <w:t>电  话：0901-3341530</w:t>
      </w:r>
    </w:p>
    <w:p>
      <w:pPr>
        <w:pStyle w:val="3"/>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 w:hAnsi="仿宋" w:eastAsia="仿宋" w:cs="仿宋"/>
          <w:kern w:val="0"/>
          <w:sz w:val="32"/>
          <w:szCs w:val="32"/>
          <w:u w:val="none"/>
          <w:lang w:val="en-US" w:eastAsia="zh-CN" w:bidi="ar-SA"/>
        </w:rPr>
      </w:pPr>
      <w:r>
        <w:rPr>
          <w:rFonts w:hint="eastAsia" w:ascii="仿宋" w:hAnsi="仿宋" w:eastAsia="仿宋" w:cs="仿宋"/>
          <w:kern w:val="0"/>
          <w:sz w:val="32"/>
          <w:szCs w:val="32"/>
          <w:u w:val="none"/>
          <w:lang w:val="en-US" w:eastAsia="zh-CN" w:bidi="ar-SA"/>
        </w:rPr>
        <w:t>地  址：额敏县自然资源局</w:t>
      </w:r>
    </w:p>
    <w:p>
      <w:pPr>
        <w:pStyle w:val="3"/>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 w:hAnsi="仿宋" w:eastAsia="仿宋" w:cs="仿宋"/>
          <w:kern w:val="2"/>
          <w:sz w:val="32"/>
          <w:szCs w:val="32"/>
          <w:u w:val="none"/>
          <w:lang w:val="en-US" w:eastAsia="zh-CN" w:bidi="ar-SA"/>
        </w:rPr>
      </w:pPr>
    </w:p>
    <w:p>
      <w:pPr>
        <w:keepNext w:val="0"/>
        <w:keepLines w:val="0"/>
        <w:pageBreakBefore w:val="0"/>
        <w:kinsoku/>
        <w:wordWrap/>
        <w:overflowPunct/>
        <w:topLinePunct w:val="0"/>
        <w:autoSpaceDE/>
        <w:autoSpaceDN/>
        <w:bidi w:val="0"/>
        <w:spacing w:after="0" w:line="560" w:lineRule="exact"/>
        <w:ind w:firstLine="640" w:firstLineChars="200"/>
        <w:jc w:val="both"/>
        <w:textAlignment w:val="auto"/>
        <w:rPr>
          <w:rFonts w:hint="eastAsia" w:ascii="仿宋" w:hAnsi="仿宋" w:eastAsia="仿宋" w:cs="仿宋"/>
          <w:sz w:val="32"/>
          <w:szCs w:val="32"/>
          <w:u w:val="none"/>
        </w:rPr>
      </w:pPr>
    </w:p>
    <w:p>
      <w:pPr>
        <w:keepNext w:val="0"/>
        <w:keepLines w:val="0"/>
        <w:pageBreakBefore w:val="0"/>
        <w:kinsoku/>
        <w:wordWrap/>
        <w:overflowPunct/>
        <w:topLinePunct w:val="0"/>
        <w:autoSpaceDE/>
        <w:autoSpaceDN/>
        <w:bidi w:val="0"/>
        <w:spacing w:after="0" w:line="560" w:lineRule="exact"/>
        <w:ind w:firstLine="640" w:firstLineChars="200"/>
        <w:jc w:val="right"/>
        <w:textAlignment w:val="auto"/>
        <w:rPr>
          <w:rFonts w:hint="eastAsia" w:ascii="仿宋" w:hAnsi="仿宋" w:eastAsia="仿宋" w:cs="仿宋"/>
          <w:sz w:val="32"/>
          <w:szCs w:val="32"/>
          <w:u w:val="none"/>
        </w:rPr>
      </w:pPr>
      <w:r>
        <w:rPr>
          <w:rFonts w:hint="eastAsia" w:ascii="仿宋" w:hAnsi="仿宋" w:eastAsia="仿宋" w:cs="仿宋"/>
          <w:sz w:val="32"/>
          <w:szCs w:val="32"/>
          <w:u w:val="none"/>
        </w:rPr>
        <w:t xml:space="preserve">额敏县自然资源局                    </w:t>
      </w:r>
    </w:p>
    <w:p>
      <w:pPr>
        <w:keepNext w:val="0"/>
        <w:keepLines w:val="0"/>
        <w:pageBreakBefore w:val="0"/>
        <w:kinsoku/>
        <w:wordWrap/>
        <w:overflowPunct/>
        <w:topLinePunct w:val="0"/>
        <w:autoSpaceDE/>
        <w:autoSpaceDN/>
        <w:bidi w:val="0"/>
        <w:spacing w:after="0" w:line="560" w:lineRule="exact"/>
        <w:ind w:firstLine="640" w:firstLineChars="200"/>
        <w:jc w:val="right"/>
        <w:textAlignment w:val="auto"/>
        <w:rPr>
          <w:rFonts w:hint="eastAsia" w:ascii="仿宋" w:hAnsi="仿宋" w:eastAsia="仿宋" w:cs="仿宋"/>
          <w:sz w:val="32"/>
          <w:szCs w:val="32"/>
          <w:u w:val="none"/>
        </w:rPr>
      </w:pPr>
      <w:r>
        <w:rPr>
          <w:rFonts w:hint="eastAsia" w:ascii="仿宋" w:hAnsi="仿宋" w:eastAsia="仿宋" w:cs="仿宋"/>
          <w:sz w:val="32"/>
          <w:szCs w:val="32"/>
          <w:u w:val="none"/>
        </w:rPr>
        <w:t>202</w:t>
      </w: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23</w:t>
      </w:r>
      <w:r>
        <w:rPr>
          <w:rFonts w:hint="eastAsia" w:ascii="仿宋" w:hAnsi="仿宋" w:eastAsia="仿宋" w:cs="仿宋"/>
          <w:sz w:val="32"/>
          <w:szCs w:val="32"/>
          <w:u w:val="none"/>
        </w:rPr>
        <w:t>日</w:t>
      </w:r>
    </w:p>
    <w:p>
      <w:pPr>
        <w:pStyle w:val="2"/>
        <w:rPr>
          <w:rFonts w:hint="eastAsia" w:ascii="仿宋" w:hAnsi="仿宋" w:eastAsia="仿宋" w:cs="仿宋"/>
          <w:sz w:val="32"/>
          <w:szCs w:val="32"/>
          <w:u w:val="none"/>
        </w:rPr>
      </w:pPr>
    </w:p>
    <w:bookmarkEnd w:id="1"/>
    <w:p>
      <w:pPr>
        <w:rPr>
          <w:rFonts w:hint="eastAsia"/>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wNjE5OWM5NzVmODQ1ODA4M2E2MDhhMDk2ZDg5MzcifQ=="/>
  </w:docVars>
  <w:rsids>
    <w:rsidRoot w:val="00000000"/>
    <w:rsid w:val="0956543A"/>
    <w:rsid w:val="0EFD0E83"/>
    <w:rsid w:val="14F94795"/>
    <w:rsid w:val="237B15A7"/>
    <w:rsid w:val="37A075EA"/>
    <w:rsid w:val="4924273F"/>
    <w:rsid w:val="4BC13BEA"/>
    <w:rsid w:val="4EFC01CA"/>
    <w:rsid w:val="540957A8"/>
    <w:rsid w:val="552C7800"/>
    <w:rsid w:val="5AB62092"/>
    <w:rsid w:val="5F2877A5"/>
    <w:rsid w:val="63296467"/>
    <w:rsid w:val="6EFD252E"/>
    <w:rsid w:val="7F806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widowControl w:val="0"/>
      <w:adjustRightInd/>
      <w:snapToGrid/>
      <w:spacing w:after="0"/>
      <w:jc w:val="both"/>
    </w:pPr>
    <w:rPr>
      <w:rFonts w:ascii="Times New Roman" w:hAnsi="Times New Roman" w:eastAsia="仿宋_GB2312" w:cs="Times New Roman"/>
      <w:kern w:val="2"/>
      <w:sz w:val="3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1049</Words>
  <Characters>1149</Characters>
  <Lines>0</Lines>
  <Paragraphs>0</Paragraphs>
  <TotalTime>15</TotalTime>
  <ScaleCrop>false</ScaleCrop>
  <LinksUpToDate>false</LinksUpToDate>
  <CharactersWithSpaces>1175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2025-05-12T03:38:00Z</cp:lastPrinted>
  <dcterms:modified xsi:type="dcterms:W3CDTF">2025-05-12T09:03:54Z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61F4644805F64A749F91B4CD74861C19_12</vt:lpwstr>
  </property>
  <property fmtid="{D5CDD505-2E9C-101B-9397-08002B2CF9AE}" pid="4" name="KSOTemplateDocerSaveRecord">
    <vt:lpwstr>eyJoZGlkIjoiMGQ3Y2IyMGI4YzBmZjRlY2JlYjcxMTViNGZkODhlMTIifQ==</vt:lpwstr>
  </property>
</Properties>
</file>