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华文中宋" w:hAnsi="华文中宋" w:eastAsia="华文中宋" w:cs="华文中宋"/>
          <w:kern w:val="0"/>
          <w:sz w:val="56"/>
          <w:szCs w:val="5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额敏县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交通运输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局行政处罚案件公示结果</w:t>
      </w:r>
    </w:p>
    <w:p>
      <w:pPr>
        <w:widowControl/>
        <w:jc w:val="center"/>
        <w:rPr>
          <w:rFonts w:hint="default" w:ascii="方正小标宋简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【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2024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】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9日至9月25日</w:t>
      </w:r>
    </w:p>
    <w:p>
      <w:pPr>
        <w:widowControl/>
        <w:ind w:right="9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填报单位：</w:t>
      </w:r>
      <w:r>
        <w:rPr>
          <w:rFonts w:hint="eastAsia" w:ascii="宋体" w:hAnsi="宋体" w:cs="宋体"/>
          <w:kern w:val="0"/>
          <w:sz w:val="28"/>
          <w:szCs w:val="28"/>
        </w:rPr>
        <w:t>额</w:t>
      </w:r>
      <w:r>
        <w:rPr>
          <w:rFonts w:ascii="宋体" w:hAnsi="宋体" w:cs="宋体"/>
          <w:kern w:val="0"/>
          <w:sz w:val="28"/>
          <w:szCs w:val="28"/>
        </w:rPr>
        <w:t>敏县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交通运输局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ascii="宋体" w:hAnsi="宋体" w:cs="宋体"/>
          <w:kern w:val="0"/>
          <w:sz w:val="28"/>
          <w:szCs w:val="28"/>
        </w:rPr>
        <w:t>填报日期：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2024.9.25</w:t>
      </w:r>
    </w:p>
    <w:tbl>
      <w:tblPr>
        <w:tblStyle w:val="3"/>
        <w:tblW w:w="1398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540"/>
        <w:gridCol w:w="1260"/>
        <w:gridCol w:w="3060"/>
        <w:gridCol w:w="2880"/>
        <w:gridCol w:w="720"/>
        <w:gridCol w:w="1260"/>
        <w:gridCol w:w="3533"/>
      </w:tblGrid>
      <w:tr>
        <w:tblPrEx>
          <w:tblLayout w:type="fixed"/>
        </w:tblPrEx>
        <w:trPr>
          <w:trHeight w:val="1329" w:hRule="atLeast"/>
          <w:tblCellSpacing w:w="0" w:type="dxa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处罚案件总数（个）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车属单位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违法事由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是否采取强制措施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金额（元）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案号</w:t>
            </w:r>
          </w:p>
        </w:tc>
      </w:tr>
      <w:tr>
        <w:tblPrEx>
          <w:tblLayout w:type="fixed"/>
        </w:tblPrEx>
        <w:trPr>
          <w:trHeight w:val="730" w:hRule="atLeast"/>
          <w:tblCellSpacing w:w="0" w:type="dxa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35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8月9日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叶尔生·扎满别克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未取得道路运输经营许可，擅自从事道路客运经营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新塔额交执运政〔2024〕032号</w:t>
            </w:r>
          </w:p>
        </w:tc>
      </w:tr>
      <w:tr>
        <w:tblPrEx>
          <w:tblLayout w:type="fixed"/>
        </w:tblPrEx>
        <w:trPr>
          <w:trHeight w:val="1274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8月27日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别开江·努尔江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未取得道路运输经营许可，擅自从事道路客运经营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新塔额交执运政〔2024〕004号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8月29日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新疆明威商贸有限公司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新塔额交执运政简〔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8月30日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新疆明威商贸有限公司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新塔额交执运政简〔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8月30日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新疆明威商贸有限公司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新塔额交执运政简〔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8月30日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额敏县隆顺泰商贸有限公司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新塔额交执运政简〔2024〕074号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9月4日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额敏县隆顺泰商贸有限公司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新塔额交执运政简〔2024〕075号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9月4日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新疆明威商贸有限公司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新塔额交执运政简〔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9月6日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额敏县隆顺泰商贸有限公司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新塔额交执运政简〔2024〕077号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9月4日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新疆明威商贸有限公司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新塔额交执运政简〔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9月6日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额敏县通达汽车服务有限公司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新塔额交执运政简〔2024〕079号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9月4日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新疆明威商贸有限公司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新塔额交执运政简〔2024〕080号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9月6日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额敏县宏鑫运输服务合作公司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道路运输企业监控人员未有效履行监控职责案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新塔额交执运政简〔2024〕081号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9月4日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额敏县宏鑫运输服务合作公司车队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道路运输企业监控人员未有效履行监控职责案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新塔额交执运政简〔2024〕082号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9月4日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新疆明威商贸有限公司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未按照规定的周期和频次进行车辆综合性能检测和技术等级评定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新塔额交执运政简〔2024〕083号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9月6日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新疆明威商贸有限公司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新塔额交执运政简〔2024〕084号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9月6日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新疆明威商贸有限公司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新塔额交执运政简〔2024〕085号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9月6日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新疆明威商贸有限公司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新塔额交执运政简〔2024〕086号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9月6日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额敏县隆顺泰商贸有限公司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货运经营者不按规定维护和检测运输车辆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新塔额交执运政简〔2024〕087号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9月6日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额敏县隆顺泰商贸有限公司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新塔额交执运政简〔2024〕088号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9月6日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新疆明威商贸有限公司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新塔额交执运政简〔2024〕089号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9月12日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额敏县隆顺泰商贸有限公司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新塔额交执运政简〔2024〕090号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9月6日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新疆明威商贸有限公司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新塔额交执运政简〔2024〕091号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9月12日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新疆明威商贸有限公司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新塔额交执运政简〔2024〕092号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9月12日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新疆明威商贸有限公司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新塔额交执运政简〔2024〕093号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9月12日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新疆明威商贸有限公司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新塔额交执运政简〔2024〕094号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9月12日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新疆明威商贸有限公司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新塔额交执运政简〔2024〕095号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9月13日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额敏县新时速运输有限公司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新塔额交执运政简〔2024〕096号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9月13日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额敏县新时速运输有限公司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新塔额交执运政简〔2024〕097号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9月13日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额敏县德隆商贸有限公司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新塔额交执运政简〔2024〕066号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9月14日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哈发明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新塔额交执运政〔2024〕035号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9月18日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额敏晟耀运输有限公司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新塔额交执运政简〔2024〕067号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新疆新耀商贸有限公司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新塔额交执运政简〔2024〕068号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新疆明威商贸有限公司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未按照规定的周期和频次进行车辆综合性能检测和技术等级评定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新塔额交执运政〔2024〕036号</w:t>
            </w:r>
          </w:p>
        </w:tc>
      </w:tr>
      <w:tr>
        <w:tblPrEx>
          <w:tblLayout w:type="fixed"/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额敏县新时速运输有限公司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新塔额交执运政简〔2024〕098号</w:t>
            </w:r>
          </w:p>
        </w:tc>
      </w:tr>
    </w:tbl>
    <w:p>
      <w:pPr>
        <w:rPr>
          <w:rFonts w:hint="eastAsia" w:eastAsia="宋体"/>
          <w:sz w:val="20"/>
          <w:szCs w:val="22"/>
          <w:lang w:val="en-US" w:eastAsia="zh-CN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2024-09-25T10:51:00Z</dcterms:created>
  <dc:creator>Administrator</dc:creator>
  <cp:lastModifiedBy>iPhone</cp:lastModifiedBy>
  <cp:lastPrinted>2024-09-25T10:53:04Z</cp:lastPrinted>
  <dcterms:modified xsi:type="dcterms:W3CDTF">2024-09-25T11:40:02Z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E3AF393FB7B9492C8DA5A6919550FAD8_11</vt:lpwstr>
  </property>
</Properties>
</file>