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bookmarkStart w:id="0" w:name="OLE_LINK1"/>
      <w:bookmarkStart w:id="1" w:name="OLE_LINK2"/>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额敏县2025年法治政府建设工作报告</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一、2025年法治政府建设工作总体推进情况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额敏县始终将法治政府建设摆在政府工作核心位置，坚持依法行政、依法履职，把法治思维和法治方式贯穿政府决策、执行、监督全过程。高位统筹推进法治建设“一规划两纲要”落地实施，承接落实307项工作任务，完成率100%。层层压实各级各部门法治建设责任，组织13个乡镇、57个县直部门95名党政主要负责人开展述法，民主测评好评率98.9%。健全完善行政决策、行政执法、矛盾化解、法律服务等全链条工作体系，行政执法规范化水平持续提升，行政复议、行政诉讼质效位居地区前列，矛盾纠纷多元化解成效显著。法治政府建设各项工作取得阶段性成效，4个行政处罚</w:t>
      </w:r>
      <w:r>
        <w:rPr>
          <w:rFonts w:hint="eastAsia" w:ascii="仿宋_GB2312" w:hAnsi="仿宋_GB2312" w:eastAsia="仿宋_GB2312" w:cs="仿宋_GB2312"/>
          <w:sz w:val="32"/>
          <w:szCs w:val="32"/>
          <w:lang w:eastAsia="zh-CN"/>
        </w:rPr>
        <w:t>案件入选国家</w:t>
      </w:r>
      <w:r>
        <w:rPr>
          <w:rFonts w:hint="eastAsia" w:ascii="仿宋_GB2312" w:hAnsi="仿宋_GB2312" w:eastAsia="仿宋_GB2312" w:cs="仿宋_GB2312"/>
          <w:sz w:val="32"/>
          <w:szCs w:val="32"/>
        </w:rPr>
        <w:t>应急管理部“典型案例”，额敏县人民法院2名法官被最高人民法院表彰，额敏县人民检察院被自治区人民检察院表彰，26名干部被自治区党委网信办评为“正能量传播者”，1名干部在地区首届法律咨询专家法治宣讲直播活动中被评为“优秀宣讲员”，公众对政府依法行政的满意度稳步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二、法治政府建设重点工作开展成效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（一）健全依法行政制度体系，夯实法治建设制度基础。</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规范行政决策程序。健全公众参与、专家论证、风险评估、合法性审查、集体讨论决定的重大行政决策程序，建立行政决策法律顾问制度，编制《额敏县2025年重大行政决策事项目录》，涵盖就业、教育、医疗等10类惠民领域，通过政府网站全面公开决策事项、承办部门及时间节点，并动态调整，切实保障公众知情权、参与权和监督权，行政决策公信力持续提升。</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强化合同与文件管理。印发《额敏县重大合同管理办法（试行）》，对政府重大合同起草、审查、履行实施全程跟踪监管，及时排查化解履约风险，确保合同合法合规、公平公正。严格执行政府规范性文件合法性审查、备案审查制度，公开文件制定主体及合法性审核机构清单；开展行政规范性文件实施后评估1次，评估结果向社会公示，切实提升文件制定质量和执行效能。</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推进法律服务全覆盖。实现全县党政机关法律顾问、公职律师全覆盖，“一村（社区）一法律顾问”全覆盖。全年党政机关法律顾问参与行政决策合法性审查35次、出具法律意见书21份，为政府依法行政提供专业法律支撑；为群众及企业解答法律咨询200余人次，打通法律服务“最后一公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（二）规范行政执法行为，提升依法行政履职能力。</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加强执法队伍建设。组织行政执法人员专题培训3次、综合培训400余人次，落实行政执法人员持证执法制度，要求执法人员每年参加不少于60学时的公共法律和业务技能培训。严格执法资格管理，42名新申领执法证人员参加地区资格认证考试，注销不符合要求的执法证件57人，全县现有持证执法人员585人，队伍专业化、规范化水平稳步提升。</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创新执法监督机制。建立“每月双领域”行政执法案卷评查机制，聚焦住建、水利、市场监管等重点领域，累计抽查案卷126件，制发行政执法监督意见书22份，督促整改程序违法、文书不规范等问题230个，形成“评查-反馈-整改-回头看”闭环管理。设立行政执法协调监督局并启用印章，22个县直部门、11个乡镇均配备专职法制审核人员，全县执法部门共配备法制审核人员75名，审核案件400余件，从源头规范执法行为。</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lang w:eastAsia="zh-CN"/>
        </w:rPr>
        <w:t>规范涉企行政检查</w:t>
      </w:r>
      <w:r>
        <w:rPr>
          <w:rFonts w:hint="eastAsia" w:ascii="仿宋_GB2312" w:hAnsi="仿宋_GB2312" w:eastAsia="仿宋_GB2312" w:cs="仿宋_GB2312"/>
          <w:sz w:val="32"/>
          <w:szCs w:val="32"/>
        </w:rPr>
        <w:t>。开展规范涉企行政检查专项行动，制定《十二条措施》《综合查一次》等机制方案4个，在政府网站、微信公众平台发布整治公告；设立7个行政执法监督联系点，选聘7名社会监督员，组织培训座谈3次，摸排整改问题10条，移送问题线索3条。全面落实“扫码入企”工作要求，完成执法人员信息库和基础数据报送，建立涵盖1.4万户市场主体（个体工商户12914户、企业1856户）的检查码库，实现执法检查扫码全覆盖、行为可追溯，切实减轻企业负担。</w:t>
      </w: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优化行政执法方式。全面推行行政执法“三项制度”，</w:t>
      </w:r>
      <w:r>
        <w:rPr>
          <w:rFonts w:hint="eastAsia" w:ascii="仿宋_GB2312" w:hAnsi="仿宋_GB2312" w:eastAsia="仿宋_GB2312" w:cs="仿宋_GB2312"/>
          <w:sz w:val="32"/>
          <w:szCs w:val="32"/>
          <w:lang w:eastAsia="zh-CN"/>
        </w:rPr>
        <w:t>落实减免责</w:t>
      </w:r>
      <w:r>
        <w:rPr>
          <w:rFonts w:hint="eastAsia" w:ascii="仿宋_GB2312" w:hAnsi="仿宋_GB2312" w:eastAsia="仿宋_GB2312" w:cs="仿宋_GB2312"/>
          <w:sz w:val="32"/>
          <w:szCs w:val="32"/>
        </w:rPr>
        <w:t>清单制度，全年</w:t>
      </w:r>
      <w:r>
        <w:rPr>
          <w:rFonts w:hint="eastAsia" w:ascii="仿宋_GB2312" w:hAnsi="仿宋_GB2312" w:eastAsia="仿宋_GB2312" w:cs="仿宋_GB2312"/>
          <w:sz w:val="32"/>
          <w:szCs w:val="32"/>
          <w:lang w:eastAsia="zh-CN"/>
        </w:rPr>
        <w:t>办理减免责</w:t>
      </w:r>
      <w:r>
        <w:rPr>
          <w:rFonts w:hint="eastAsia" w:ascii="仿宋_GB2312" w:hAnsi="仿宋_GB2312" w:eastAsia="仿宋_GB2312" w:cs="仿宋_GB2312"/>
          <w:sz w:val="32"/>
          <w:szCs w:val="32"/>
        </w:rPr>
        <w:t>案件208件，减免金额33.9万元。大力开展“说理式执法”“教育式执法”630余次，推动“刚性执法+柔性服务”有机结合，实现执法效果与社会效果相统一。有序推进行政执法权下放，组织11个乡镇开展履职事项优化调整，制定并公示行政执法事项清单，开展专题培训，确保执法权力“放得下、接得住、管得好”。</w:t>
      </w:r>
      <w:r>
        <w:rPr>
          <w:rFonts w:hint="eastAsia" w:ascii="仿宋_GB2312" w:hAnsi="仿宋_GB2312" w:eastAsia="仿宋_GB2312" w:cs="仿宋_GB2312"/>
          <w:b/>
          <w:bCs/>
          <w:sz w:val="32"/>
          <w:szCs w:val="32"/>
        </w:rPr>
        <w:t>五是</w:t>
      </w:r>
      <w:r>
        <w:rPr>
          <w:rFonts w:hint="eastAsia" w:ascii="仿宋_GB2312" w:hAnsi="仿宋_GB2312" w:eastAsia="仿宋_GB2312" w:cs="仿宋_GB2312"/>
          <w:sz w:val="32"/>
          <w:szCs w:val="32"/>
        </w:rPr>
        <w:t>强化执法监督衔接。建立行政检察与行政执法监督衔接机制，加强与法治督察、行政复议、行政诉讼等工作的协作配合，形成监督合力。开展行政执法案卷专项评查，对住建、发改等领域案卷进行重点抽查，通过行政复议纠错行政行为3件，纠错率25%，以严格监督倒逼执法规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（三）完善行政争议化解机制，提升矛盾纠纷解决效能。</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健全行政复议工作体系。成立县行政复议委员会，规范行政复议案件受理、审理、办结全流程。全年接收行政复议案件38件，调解和解率71.43%；</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深化矛盾纠纷多元化解。严格落实《自治区矛盾纠纷多元化解条例》，推动6项业务入驻县综治中心、行政服务大厅，设立“法治体检室”，建成塔城地区首个“兵地多元联合调解工作室”。依托“法庭+司法所”“兵地联调”等模式，全年排查调解各类矛盾纠纷963件，调节成功率100%，将矛盾纠纷化解在基层、化解在萌芽状态。</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规范行政机关出庭应诉。严格落实《塔城地区行政机关负责人出庭应诉工作实施方案》，推动行政机关负责人从“出庭”向“出声、出效”转变，全年行政机关负责人出庭应诉率100%，无未按期履行生效裁判文书情况，切实维护司法权威和当事人合法权益。</w:t>
      </w: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推进拖欠账款清理工作。扎实开展涉党政机关、事业单位、国有企业拖欠账款清理工作，建立工作台账，明确还款计划、压实清偿责任，针对300万元以上标的16件民事案件已履行14件，执行到位855.63万元，执行率87.5%，切实维护市场主体合法权益，优化营商环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（四）深化法治宣传教育，营造全民守法浓厚氛围。</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是</w:t>
      </w:r>
      <w:r>
        <w:rPr>
          <w:rFonts w:hint="eastAsia" w:ascii="仿宋_GB2312" w:hAnsi="仿宋_GB2312" w:eastAsia="仿宋_GB2312" w:cs="仿宋_GB2312"/>
          <w:sz w:val="32"/>
          <w:szCs w:val="32"/>
        </w:rPr>
        <w:t>抓实重点普法工作。以“宪法法律宣传月”“民法典宣传月”等关键节点为契机，开展法律“进社区、进农村、进企业、进学校、进机关”活动，发放普法读本1000册、宣传折页5000份。严格落实“谁执法谁普法”责任制，并结合部门职能制定普法责任清单，法院、检察院、发改委等部门围绕企业需求开展靶向普法；组织律师进企业开展“法治体检”，以“普法宣传+法治体检+助企纾困”模式，提供订单式普法、合同风险分析等服务21项，助力企业合规发展。</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是</w:t>
      </w:r>
      <w:r>
        <w:rPr>
          <w:rFonts w:hint="eastAsia" w:ascii="仿宋_GB2312" w:hAnsi="仿宋_GB2312" w:eastAsia="仿宋_GB2312" w:cs="仿宋_GB2312"/>
          <w:sz w:val="32"/>
          <w:szCs w:val="32"/>
        </w:rPr>
        <w:t>聚焦青少年法治教育。全覆盖调优配强中小学法治副校长，明确法治副校长年授课不少于8课时。开办模拟法庭5场次，依托青少年法治教育基地接待学生500余人次，引导青少年树立正确法治观念，扣好“人生第一粒法治扣子”。</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是</w:t>
      </w:r>
      <w:r>
        <w:rPr>
          <w:rFonts w:hint="eastAsia" w:ascii="仿宋_GB2312" w:hAnsi="仿宋_GB2312" w:eastAsia="仿宋_GB2312" w:cs="仿宋_GB2312"/>
          <w:sz w:val="32"/>
          <w:szCs w:val="32"/>
        </w:rPr>
        <w:t>健全普法阵地建设。建成县级法治文化公园1个、法治文化街1条，配备“普法电子屏”2块；乡镇、村队实现法治文化墙、宣传栏、图书角全覆盖。打造“</w:t>
      </w:r>
      <w:r>
        <w:rPr>
          <w:rFonts w:hint="eastAsia" w:ascii="仿宋_GB2312" w:hAnsi="仿宋_GB2312" w:eastAsia="仿宋_GB2312" w:cs="仿宋_GB2312"/>
          <w:sz w:val="32"/>
          <w:szCs w:val="32"/>
          <w:lang w:val="en-US" w:eastAsia="zh-CN"/>
        </w:rPr>
        <w:t>法治</w:t>
      </w:r>
      <w:r>
        <w:rPr>
          <w:rFonts w:hint="eastAsia" w:ascii="仿宋_GB2312" w:hAnsi="仿宋_GB2312" w:eastAsia="仿宋_GB2312" w:cs="仿宋_GB2312"/>
          <w:sz w:val="32"/>
          <w:szCs w:val="32"/>
        </w:rPr>
        <w:t>微讲堂”宣传品牌，在“额敏好地方”客户端与FM105.0交通音乐电台同步播出；开展法治书法绘画展、知识竞赛等活动26场次，征集手抄报、征文等作品1200余件，让法治文化融入群众日常生活。</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是</w:t>
      </w:r>
      <w:r>
        <w:rPr>
          <w:rFonts w:hint="eastAsia" w:ascii="仿宋_GB2312" w:hAnsi="仿宋_GB2312" w:eastAsia="仿宋_GB2312" w:cs="仿宋_GB2312"/>
          <w:sz w:val="32"/>
          <w:szCs w:val="32"/>
        </w:rPr>
        <w:t>推进干部学法常态化。严格落实领导干部应知应会法律法规清单制度，组织5586名公职人员完成“法宣在线”学习；开展新</w:t>
      </w:r>
      <w:r>
        <w:rPr>
          <w:rFonts w:hint="eastAsia" w:ascii="仿宋_GB2312" w:hAnsi="仿宋_GB2312" w:eastAsia="仿宋_GB2312" w:cs="仿宋_GB2312"/>
          <w:sz w:val="32"/>
          <w:szCs w:val="32"/>
          <w:lang w:eastAsia="zh-CN"/>
        </w:rPr>
        <w:t>提拔</w:t>
      </w:r>
      <w:r>
        <w:rPr>
          <w:rFonts w:hint="eastAsia" w:ascii="仿宋_GB2312" w:hAnsi="仿宋_GB2312" w:eastAsia="仿宋_GB2312" w:cs="仿宋_GB2312"/>
          <w:sz w:val="32"/>
          <w:szCs w:val="32"/>
        </w:rPr>
        <w:t>干部任前考法17期，覆盖143人次；举办“法治讲堂•逢九必讲”培训12期，县级领导带头参与41人次，全县公职人员法治素养持续提升。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（五）狠抓问题整改落实，补齐法治建设短板弱项。</w:t>
      </w:r>
      <w:r>
        <w:rPr>
          <w:rFonts w:hint="eastAsia" w:ascii="仿宋_GB2312" w:hAnsi="仿宋_GB2312" w:eastAsia="仿宋_GB2312" w:cs="仿宋_GB2312"/>
          <w:sz w:val="32"/>
          <w:szCs w:val="32"/>
        </w:rPr>
        <w:t>严格落实法治督察整改要求，对2024年自治区法治督察反馈的17条问题、地区法治督察反馈的6条共性问题和17条个性问题，制定整改方案、细化整改措施、压实整改责任，实现所有问题全部整改完成。将《地区法治政府建设15项评估指标问题清单》整改纳入年度法治督察重点内容，定期召开专题会议部署推进，通报整改进展，推动问题整改落地见效。对照地区专题述法反馈的5条共性问题及自查发现的5条个性问题，制定《额敏县2024年度述法问题整改工作方案》，逐项整改销号，切实补齐法治建设短板，提升法治政府建设整体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三、法治政府建设工作特色与亮点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（一）高位统筹，构建法治建设“一盘棋”格局</w:t>
      </w:r>
      <w:r>
        <w:rPr>
          <w:rFonts w:hint="eastAsia" w:ascii="仿宋_GB2312" w:hAnsi="仿宋_GB2312" w:eastAsia="仿宋_GB2312" w:cs="仿宋_GB2312"/>
          <w:sz w:val="32"/>
          <w:szCs w:val="32"/>
        </w:rPr>
        <w:t>。额敏县将法治政府建设纳入全县经济社会发展总体规划和政府工作重点，与中心工作同部署、同推进、同考核。积极组织召开全面依法治县委员会会议、“一规划两纲要”实施暨“八五”普法验收工作推进会，审议通过法治建设年度工作要点及相关制度规则，明确各级各部门责任分工，形成“政府主导、部门协同、上下联动、齐抓共管”的法治政府建设工作格局，确保各项工作有序推进、落地见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（二）精准普法，打造基层法治宣传“新阵地”。</w:t>
      </w:r>
      <w:r>
        <w:rPr>
          <w:rFonts w:hint="eastAsia" w:ascii="仿宋_GB2312" w:hAnsi="仿宋_GB2312" w:eastAsia="仿宋_GB2312" w:cs="仿宋_GB2312"/>
          <w:sz w:val="32"/>
          <w:szCs w:val="32"/>
        </w:rPr>
        <w:t>创新开展“法治宣讲聚力攻坚行动”，从公检法司等部门抽调专业力量组建22人专业宣讲团，规划72个宣讲点位，实现全县各乡镇（场）、村队全覆盖。聚焦交通安全、土地草场林地纠纷、反电诈、未成年人保护等17大类民生法规开展“接地气”宣讲，推动法治宣传走进群众、深入人心，切实提升群众法治知晓率和认同感。</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（三）闭环管理，推动行政执法“精准化”提升。</w:t>
      </w:r>
      <w:r>
        <w:rPr>
          <w:rFonts w:hint="eastAsia" w:ascii="仿宋_GB2312" w:hAnsi="仿宋_GB2312" w:eastAsia="仿宋_GB2312" w:cs="仿宋_GB2312"/>
          <w:sz w:val="32"/>
          <w:szCs w:val="32"/>
        </w:rPr>
        <w:t>创新建立“每月双领域”案卷评查机制，聚焦重点执法领域开展常态化、精细化案卷评查。通过制发监督意见书、督促整改、组织“回头看”等举措，形成闭环管理体系，累计督促整改执法问题230个，有效解决行政执法中程序不规范、文书不标准等问题，全县行政执法规范化水平显著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四、法治政府建设存在的问题与不足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虽然取得了一定的成绩，但我们也清醒认识到，法治政府建设工作仍存在一些短板和不足。</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是</w:t>
      </w:r>
      <w:r>
        <w:rPr>
          <w:rFonts w:hint="eastAsia" w:ascii="仿宋_GB2312" w:hAnsi="仿宋_GB2312" w:eastAsia="仿宋_GB2312" w:cs="仿宋_GB2312"/>
          <w:sz w:val="32"/>
          <w:szCs w:val="32"/>
        </w:rPr>
        <w:t>基层治理能力有待加强。面对复杂的社会治理形势，部分领域风险研判不够精准，依法化解矛盾纠纷、防范处置风险的能力与现实需求存在差距，系统治理、源头治理的水平有待提高。</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是</w:t>
      </w:r>
      <w:r>
        <w:rPr>
          <w:rFonts w:hint="eastAsia" w:ascii="仿宋_GB2312" w:hAnsi="仿宋_GB2312" w:eastAsia="仿宋_GB2312" w:cs="仿宋_GB2312"/>
          <w:sz w:val="32"/>
          <w:szCs w:val="32"/>
        </w:rPr>
        <w:t>基层法律服务效能不高。村（社区）法律顾问的作用发挥不够充分，服务形式和内容与群众需求不够贴合，部分群众“遇事找法、解决问题靠法”的行为习惯尚未完全养成，全民法治信仰培育仍需持续发力。</w:t>
      </w:r>
      <w:r>
        <w:rPr>
          <w:rFonts w:hint="eastAsia" w:ascii="仿宋_GB2312" w:hAnsi="仿宋_GB2312" w:eastAsia="仿宋_GB2312" w:cs="仿宋_GB2312"/>
          <w:b/>
          <w:bCs/>
          <w:i w:val="0"/>
          <w:iCs w:val="0"/>
          <w:sz w:val="32"/>
          <w:szCs w:val="32"/>
          <w:lang w:val="en-US" w:eastAsia="zh-CN"/>
        </w:rPr>
        <w:t>三</w:t>
      </w:r>
      <w:r>
        <w:rPr>
          <w:rFonts w:hint="eastAsia" w:ascii="仿宋_GB2312" w:hAnsi="仿宋_GB2312" w:eastAsia="仿宋_GB2312" w:cs="仿宋_GB2312"/>
          <w:b/>
          <w:bCs/>
          <w:i w:val="0"/>
          <w:iCs w:val="0"/>
          <w:sz w:val="32"/>
          <w:szCs w:val="32"/>
        </w:rPr>
        <w:t>是</w:t>
      </w:r>
      <w:r>
        <w:rPr>
          <w:rFonts w:hint="eastAsia" w:ascii="仿宋_GB2312" w:hAnsi="仿宋_GB2312" w:eastAsia="仿宋_GB2312" w:cs="仿宋_GB2312"/>
          <w:sz w:val="32"/>
          <w:szCs w:val="32"/>
        </w:rPr>
        <w:t>法治建设保障仍需强化。部分基层执法单位法制审核力量薄弱，执法人员专业能力参差不齐，法治建设信息化、智能化水平有待进一步提升。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五、下一步工作打算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2026年，额敏县将以问题为导向、以提质增效为目标，持续深化法治政府建设，不断提升依法行政能力和治理水平，为全县经济社会高质量发展提供更加强有力的法治保障。重点做好以下工作：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（一）深化法治理念培育，推动治理方式转型升级。</w:t>
      </w:r>
      <w:r>
        <w:rPr>
          <w:rFonts w:hint="eastAsia" w:ascii="仿宋_GB2312" w:hAnsi="仿宋_GB2312" w:eastAsia="仿宋_GB2312" w:cs="仿宋_GB2312"/>
          <w:sz w:val="32"/>
          <w:szCs w:val="32"/>
        </w:rPr>
        <w:t>常态化开展专题培训和学习研讨，切实增强各级领导干部的法治思维和法治能力。以</w:t>
      </w:r>
      <w:r>
        <w:rPr>
          <w:rFonts w:hint="eastAsia" w:ascii="仿宋_GB2312" w:hAnsi="仿宋_GB2312" w:eastAsia="仿宋_GB2312" w:cs="仿宋_GB2312"/>
          <w:sz w:val="32"/>
          <w:szCs w:val="32"/>
          <w:lang w:eastAsia="zh-CN"/>
        </w:rPr>
        <w:t>树立和践行正确政绩观学习教育</w:t>
      </w:r>
      <w:r>
        <w:rPr>
          <w:rFonts w:hint="eastAsia" w:ascii="仿宋_GB2312" w:hAnsi="仿宋_GB2312" w:eastAsia="仿宋_GB2312" w:cs="仿宋_GB2312"/>
          <w:sz w:val="32"/>
          <w:szCs w:val="32"/>
        </w:rPr>
        <w:t>为契机，推动治理理念从粗放治理、末端治理向系统治理、源头治理转变，工作方式从“大水漫灌”向“精准滴灌”转变，把法治思维贯穿政府各项工作，实现从“管住”到“管好”的跨越，切实扛起法治政府建设政治责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（二）强化制度执行落地，提升依法行政规范化水平。</w:t>
      </w:r>
      <w:r>
        <w:rPr>
          <w:rFonts w:hint="eastAsia" w:ascii="仿宋_GB2312" w:hAnsi="仿宋_GB2312" w:eastAsia="仿宋_GB2312" w:cs="仿宋_GB2312"/>
          <w:sz w:val="32"/>
          <w:szCs w:val="32"/>
        </w:rPr>
        <w:t>持续完善重大行政决策程序，严格落实合法性审查、集体讨论等制度，进一步提升行政决策的科学性、民主性、合法性。加强规范性文件和重大合同全过程、全流程管理，常态化开展文件评估和合同监管，确保制度执行不走样、不落空。持续推进行政执法“三项制度”落实，优化“每月双领域”案卷评查机制，加强执法人员专业培训，不断提升行政执法规范化、精细化水平，切实做到严格规范公正文明执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（三）夯实基层法治根基，推动治理重心向下延伸。</w:t>
      </w:r>
      <w:r>
        <w:rPr>
          <w:rFonts w:hint="eastAsia" w:ascii="仿宋_GB2312" w:hAnsi="仿宋_GB2312" w:eastAsia="仿宋_GB2312" w:cs="仿宋_GB2312"/>
          <w:sz w:val="32"/>
          <w:szCs w:val="32"/>
        </w:rPr>
        <w:t>加强村（社区）法律顾问管理，健全考核评价机制</w:t>
      </w:r>
      <w:bookmarkStart w:id="2" w:name="_GoBack"/>
      <w:bookmarkEnd w:id="2"/>
      <w:r>
        <w:rPr>
          <w:rFonts w:hint="eastAsia" w:ascii="仿宋_GB2312" w:hAnsi="仿宋_GB2312" w:eastAsia="仿宋_GB2312" w:cs="仿宋_GB2312"/>
          <w:sz w:val="32"/>
          <w:szCs w:val="32"/>
        </w:rPr>
        <w:t>。持续完善矛盾纠纷多元化解体系，做强兵地多元联合调解工作室等平台，加强“法庭+司法所”“兵地联调”等模式运用，切实将矛盾纠纷化解在基层。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（四）健全法治宣传体系，培育全民法治信仰。</w:t>
      </w:r>
      <w:r>
        <w:rPr>
          <w:rFonts w:hint="eastAsia" w:ascii="仿宋_GB2312" w:hAnsi="仿宋_GB2312" w:eastAsia="仿宋_GB2312" w:cs="仿宋_GB2312"/>
          <w:sz w:val="32"/>
          <w:szCs w:val="32"/>
        </w:rPr>
        <w:t>精准把握新时代普法工作方向，科学谋划“九五”普法规划，全力抓好《中华人民共和国法治宣传教育法》的贯彻落实。聚焦群众急难愁盼民生问题和重点领域法律法规，开展精准化、常态化普法宣传。丰富普法形式载体，用好法治文化阵地和新媒体平台，打造更多群众喜闻乐见的法治宣传品牌。持续深化青少年法治教育，推动法治宣传教育进基层、进家庭、进人心，引导全社会牢固树立“尊法为基、学法为要、守法为本、用法为径”的法治意识，让干部群众成为社会主义法治的忠实崇尚者、自觉遵守者、坚定捍卫者。</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（五）狠抓问题整改提升，健全长效工作机制。</w:t>
      </w:r>
      <w:r>
        <w:rPr>
          <w:rFonts w:hint="eastAsia" w:ascii="仿宋_GB2312" w:hAnsi="仿宋_GB2312" w:eastAsia="仿宋_GB2312" w:cs="仿宋_GB2312"/>
          <w:sz w:val="32"/>
          <w:szCs w:val="32"/>
        </w:rPr>
        <w:t>对法治政府建设中存在的问题进行常态化排查，建立问题台账、实行销号管理，针对薄弱环节制定针对性整改措施，同时健全长效机制，防止问题反弹回潮。持续加强法治督察力度，将法治政府建设工作纳入政府绩效考核和领导干部述法重要内容，层层压实责任、层层传导压力，推动全县法治政府建设工作再上新台阶，为建设更高水平的法治额敏、平安额敏奠定坚实基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2026年3月11日</w:t>
      </w:r>
      <w:bookmarkEnd w:id="1"/>
    </w:p>
    <w:sectPr>
      <w:pgSz w:w="11906" w:h="16838"/>
      <w:pgMar w:top="2098" w:right="1474" w:bottom="2098"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7E50A9"/>
    <w:rsid w:val="0FE54533"/>
    <w:rsid w:val="117E23EE"/>
    <w:rsid w:val="155D2738"/>
    <w:rsid w:val="167B50DB"/>
    <w:rsid w:val="17C9264B"/>
    <w:rsid w:val="1A772E9F"/>
    <w:rsid w:val="2117065C"/>
    <w:rsid w:val="21771C9D"/>
    <w:rsid w:val="2474554E"/>
    <w:rsid w:val="24C76494"/>
    <w:rsid w:val="31C917DE"/>
    <w:rsid w:val="321901D2"/>
    <w:rsid w:val="3453361D"/>
    <w:rsid w:val="34C63977"/>
    <w:rsid w:val="39D52E23"/>
    <w:rsid w:val="3E4060E1"/>
    <w:rsid w:val="3EFC5198"/>
    <w:rsid w:val="3F794562"/>
    <w:rsid w:val="40883B0B"/>
    <w:rsid w:val="435938CC"/>
    <w:rsid w:val="43CA5631"/>
    <w:rsid w:val="45783B67"/>
    <w:rsid w:val="4841204F"/>
    <w:rsid w:val="498B6DE8"/>
    <w:rsid w:val="4B7926EF"/>
    <w:rsid w:val="4F5422AC"/>
    <w:rsid w:val="55566FFA"/>
    <w:rsid w:val="579D22F7"/>
    <w:rsid w:val="580964E1"/>
    <w:rsid w:val="586E77D3"/>
    <w:rsid w:val="5A2A2367"/>
    <w:rsid w:val="5CD87773"/>
    <w:rsid w:val="63676922"/>
    <w:rsid w:val="686A4858"/>
    <w:rsid w:val="6A951E3B"/>
    <w:rsid w:val="6E7E50A9"/>
    <w:rsid w:val="71CA5742"/>
    <w:rsid w:val="756250EE"/>
    <w:rsid w:val="7F082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38</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2026-04-02T04:37:00Z</dcterms:created>
  <dc:creator>Administrator</dc:creator>
  <cp:lastModifiedBy>Administrator</cp:lastModifiedBy>
  <dcterms:modified xsi:type="dcterms:W3CDTF">2026-04-02T05:22:40Z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