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45"/>
          <w:szCs w:val="45"/>
        </w:rPr>
      </w:pPr>
      <w:bookmarkStart w:id="0" w:name="_GoBack"/>
      <w:r>
        <w:rPr>
          <w:rFonts w:hint="eastAsia" w:ascii="微软雅黑" w:hAnsi="微软雅黑" w:eastAsia="微软雅黑" w:cs="微软雅黑"/>
          <w:b/>
          <w:bCs/>
          <w:i w:val="0"/>
          <w:iCs w:val="0"/>
          <w:caps w:val="0"/>
          <w:color w:val="333333"/>
          <w:spacing w:val="0"/>
          <w:sz w:val="45"/>
          <w:szCs w:val="45"/>
          <w:shd w:val="clear" w:fill="FFFFFF"/>
          <w:lang w:val="en-US" w:eastAsia="zh-CN"/>
        </w:rPr>
        <w:t>额敏县</w:t>
      </w:r>
      <w:r>
        <w:rPr>
          <w:rFonts w:hint="eastAsia" w:ascii="微软雅黑" w:hAnsi="微软雅黑" w:eastAsia="微软雅黑" w:cs="微软雅黑"/>
          <w:b/>
          <w:bCs/>
          <w:i w:val="0"/>
          <w:iCs w:val="0"/>
          <w:caps w:val="0"/>
          <w:color w:val="333333"/>
          <w:spacing w:val="0"/>
          <w:sz w:val="45"/>
          <w:szCs w:val="45"/>
          <w:shd w:val="clear" w:fill="FFFFFF"/>
        </w:rPr>
        <w:t>新闻出版版权领域基层政务公开事项目录</w:t>
      </w:r>
    </w:p>
    <w:bookmarkEnd w:id="0"/>
    <w:tbl>
      <w:tblPr>
        <w:tblStyle w:val="3"/>
        <w:tblW w:w="1153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57"/>
        <w:gridCol w:w="376"/>
        <w:gridCol w:w="556"/>
        <w:gridCol w:w="1753"/>
        <w:gridCol w:w="1500"/>
        <w:gridCol w:w="863"/>
        <w:gridCol w:w="731"/>
        <w:gridCol w:w="2399"/>
        <w:gridCol w:w="321"/>
        <w:gridCol w:w="508"/>
        <w:gridCol w:w="531"/>
        <w:gridCol w:w="577"/>
        <w:gridCol w:w="519"/>
        <w:gridCol w:w="5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11535" w:type="dxa"/>
            <w:gridSpan w:val="14"/>
            <w:tcBorders>
              <w:top w:val="single" w:color="000000" w:sz="8" w:space="0"/>
              <w:left w:val="single" w:color="000000" w:sz="8" w:space="0"/>
              <w:bottom w:val="single" w:color="000000"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ascii="Calibri" w:hAnsi="Calibri" w:cs="Calibri"/>
                <w:sz w:val="21"/>
                <w:szCs w:val="21"/>
              </w:rPr>
            </w:pPr>
            <w:r>
              <w:rPr>
                <w:rFonts w:ascii="黑体" w:hAnsi="宋体" w:eastAsia="黑体" w:cs="黑体"/>
                <w:kern w:val="0"/>
                <w:sz w:val="18"/>
                <w:szCs w:val="18"/>
                <w:lang w:val="en-US" w:eastAsia="zh-CN" w:bidi="ar"/>
              </w:rPr>
              <w:t>编制单位：</w:t>
            </w:r>
            <w:r>
              <w:rPr>
                <w:rFonts w:hint="eastAsia" w:ascii="黑体" w:hAnsi="宋体" w:eastAsia="黑体" w:cs="黑体"/>
                <w:kern w:val="0"/>
                <w:sz w:val="18"/>
                <w:szCs w:val="18"/>
                <w:lang w:val="en-US" w:eastAsia="zh-CN" w:bidi="ar"/>
              </w:rPr>
              <w:t>额敏县委宣传部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7" w:type="dxa"/>
            <w:vMerge w:val="restart"/>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序号</w:t>
            </w:r>
          </w:p>
        </w:tc>
        <w:tc>
          <w:tcPr>
            <w:tcW w:w="932" w:type="dxa"/>
            <w:gridSpan w:val="2"/>
            <w:tcBorders>
              <w:top w:val="single" w:color="000000" w:sz="8" w:space="0"/>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公开事项</w:t>
            </w:r>
          </w:p>
        </w:tc>
        <w:tc>
          <w:tcPr>
            <w:tcW w:w="1753" w:type="dxa"/>
            <w:vMerge w:val="restart"/>
            <w:tcBorders>
              <w:top w:val="single" w:color="000000" w:sz="8" w:space="0"/>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（要素）</w:t>
            </w:r>
          </w:p>
        </w:tc>
        <w:tc>
          <w:tcPr>
            <w:tcW w:w="1500" w:type="dxa"/>
            <w:vMerge w:val="restart"/>
            <w:tcBorders>
              <w:top w:val="single" w:color="000000" w:sz="8" w:space="0"/>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公开依据</w:t>
            </w:r>
          </w:p>
        </w:tc>
        <w:tc>
          <w:tcPr>
            <w:tcW w:w="863" w:type="dxa"/>
            <w:vMerge w:val="restart"/>
            <w:tcBorders>
              <w:top w:val="single" w:color="000000" w:sz="8" w:space="0"/>
              <w:left w:val="single" w:color="000000" w:sz="8" w:space="0"/>
              <w:bottom w:val="single" w:color="000000"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公开时限  </w:t>
            </w:r>
          </w:p>
        </w:tc>
        <w:tc>
          <w:tcPr>
            <w:tcW w:w="731" w:type="dxa"/>
            <w:vMerge w:val="restart"/>
            <w:tcBorders>
              <w:top w:val="single" w:color="auto" w:sz="8" w:space="0"/>
              <w:left w:val="nil"/>
              <w:bottom w:val="single" w:color="000000"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公开主体</w:t>
            </w:r>
          </w:p>
        </w:tc>
        <w:tc>
          <w:tcPr>
            <w:tcW w:w="2399" w:type="dxa"/>
            <w:vMerge w:val="restart"/>
            <w:tcBorders>
              <w:top w:val="single" w:color="auto" w:sz="8" w:space="0"/>
              <w:left w:val="nil"/>
              <w:bottom w:val="outset"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公开渠道和载体</w:t>
            </w:r>
          </w:p>
        </w:tc>
        <w:tc>
          <w:tcPr>
            <w:tcW w:w="829" w:type="dxa"/>
            <w:gridSpan w:val="2"/>
            <w:tcBorders>
              <w:top w:val="single" w:color="auto" w:sz="8" w:space="0"/>
              <w:left w:val="nil"/>
              <w:bottom w:val="nil"/>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公开对象</w:t>
            </w:r>
          </w:p>
        </w:tc>
        <w:tc>
          <w:tcPr>
            <w:tcW w:w="1108" w:type="dxa"/>
            <w:gridSpan w:val="2"/>
            <w:tcBorders>
              <w:top w:val="single" w:color="auto" w:sz="8" w:space="0"/>
              <w:left w:val="nil"/>
              <w:bottom w:val="single" w:color="000000"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公开方式</w:t>
            </w:r>
          </w:p>
        </w:tc>
        <w:tc>
          <w:tcPr>
            <w:tcW w:w="1063" w:type="dxa"/>
            <w:gridSpan w:val="2"/>
            <w:tcBorders>
              <w:top w:val="single" w:color="auto" w:sz="8" w:space="0"/>
              <w:left w:val="nil"/>
              <w:bottom w:val="single" w:color="000000"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9" w:hRule="atLeast"/>
          <w:jc w:val="center"/>
        </w:trPr>
        <w:tc>
          <w:tcPr>
            <w:tcW w:w="357" w:type="dxa"/>
            <w:vMerge w:val="continue"/>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376"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事项</w:t>
            </w:r>
          </w:p>
        </w:tc>
        <w:tc>
          <w:tcPr>
            <w:tcW w:w="556"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二级事项</w:t>
            </w:r>
          </w:p>
        </w:tc>
        <w:tc>
          <w:tcPr>
            <w:tcW w:w="1753" w:type="dxa"/>
            <w:vMerge w:val="continue"/>
            <w:tcBorders>
              <w:top w:val="single" w:color="000000" w:sz="8" w:space="0"/>
              <w:left w:val="single" w:color="000000" w:sz="8" w:space="0"/>
              <w:bottom w:val="single" w:color="000000" w:sz="8" w:space="0"/>
              <w:right w:val="nil"/>
            </w:tcBorders>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1500" w:type="dxa"/>
            <w:vMerge w:val="continue"/>
            <w:tcBorders>
              <w:top w:val="single" w:color="000000" w:sz="8" w:space="0"/>
              <w:left w:val="single" w:color="000000" w:sz="8" w:space="0"/>
              <w:bottom w:val="single" w:color="000000" w:sz="8" w:space="0"/>
              <w:right w:val="nil"/>
            </w:tcBorders>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863" w:type="dxa"/>
            <w:vMerge w:val="continue"/>
            <w:tcBorders>
              <w:top w:val="single" w:color="000000" w:sz="8" w:space="0"/>
              <w:left w:val="single" w:color="000000" w:sz="8" w:space="0"/>
              <w:bottom w:val="single" w:color="000000" w:sz="8" w:space="0"/>
              <w:right w:val="single" w:color="auto" w:sz="8" w:space="0"/>
            </w:tcBorders>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731" w:type="dxa"/>
            <w:vMerge w:val="continue"/>
            <w:tcBorders>
              <w:top w:val="single" w:color="auto" w:sz="8" w:space="0"/>
              <w:left w:val="nil"/>
              <w:bottom w:val="single" w:color="000000" w:sz="8" w:space="0"/>
              <w:right w:val="single" w:color="auto" w:sz="8" w:space="0"/>
            </w:tcBorders>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2399" w:type="dxa"/>
            <w:vMerge w:val="continue"/>
            <w:tcBorders>
              <w:top w:val="single" w:color="auto" w:sz="8" w:space="0"/>
              <w:left w:val="nil"/>
              <w:bottom w:val="outset" w:color="auto" w:sz="8" w:space="0"/>
              <w:right w:val="single" w:color="auto" w:sz="8" w:space="0"/>
            </w:tcBorders>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321" w:type="dxa"/>
            <w:tcBorders>
              <w:top w:val="nil"/>
              <w:left w:val="nil"/>
              <w:bottom w:val="single" w:color="000000" w:sz="8" w:space="0"/>
              <w:right w:val="single" w:color="auto" w:sz="8" w:space="0"/>
            </w:tcBorders>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全社会</w:t>
            </w:r>
          </w:p>
        </w:tc>
        <w:tc>
          <w:tcPr>
            <w:tcW w:w="508" w:type="dxa"/>
            <w:tcBorders>
              <w:top w:val="nil"/>
              <w:left w:val="nil"/>
              <w:bottom w:val="single" w:color="000000" w:sz="8" w:space="0"/>
              <w:right w:val="single" w:color="auto" w:sz="8" w:space="0"/>
            </w:tcBorders>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群体</w:t>
            </w:r>
          </w:p>
        </w:tc>
        <w:tc>
          <w:tcPr>
            <w:tcW w:w="531" w:type="dxa"/>
            <w:tcBorders>
              <w:top w:val="single" w:color="000000" w:sz="8" w:space="0"/>
              <w:left w:val="nil"/>
              <w:bottom w:val="single" w:color="000000" w:sz="8" w:space="0"/>
              <w:right w:val="single" w:color="auto" w:sz="8" w:space="0"/>
            </w:tcBorders>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主动</w:t>
            </w:r>
          </w:p>
        </w:tc>
        <w:tc>
          <w:tcPr>
            <w:tcW w:w="577" w:type="dxa"/>
            <w:tcBorders>
              <w:top w:val="single" w:color="000000" w:sz="8" w:space="0"/>
              <w:left w:val="nil"/>
              <w:bottom w:val="single" w:color="000000" w:sz="8" w:space="0"/>
              <w:right w:val="single" w:color="auto" w:sz="8" w:space="0"/>
            </w:tcBorders>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依申请</w:t>
            </w:r>
          </w:p>
        </w:tc>
        <w:tc>
          <w:tcPr>
            <w:tcW w:w="519" w:type="dxa"/>
            <w:tcBorders>
              <w:top w:val="single" w:color="000000" w:sz="8" w:space="0"/>
              <w:left w:val="nil"/>
              <w:bottom w:val="single" w:color="000000" w:sz="8" w:space="0"/>
              <w:right w:val="single" w:color="auto" w:sz="8" w:space="0"/>
            </w:tcBorders>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县级</w:t>
            </w:r>
          </w:p>
        </w:tc>
        <w:tc>
          <w:tcPr>
            <w:tcW w:w="544" w:type="dxa"/>
            <w:tcBorders>
              <w:top w:val="single" w:color="000000" w:sz="8" w:space="0"/>
              <w:left w:val="nil"/>
              <w:bottom w:val="single" w:color="000000" w:sz="8" w:space="0"/>
              <w:right w:val="single" w:color="auto" w:sz="8" w:space="0"/>
            </w:tcBorders>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乡级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78" w:hRule="atLeast"/>
          <w:jc w:val="center"/>
        </w:trPr>
        <w:tc>
          <w:tcPr>
            <w:tcW w:w="357"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ascii="方正仿宋_GBK" w:hAnsi="方正仿宋_GBK" w:eastAsia="方正仿宋_GBK" w:cs="方正仿宋_GBK"/>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37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许可</w:t>
            </w:r>
          </w:p>
        </w:tc>
        <w:tc>
          <w:tcPr>
            <w:tcW w:w="55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出版物零售单位和个体工商户设立、变更审批</w:t>
            </w:r>
          </w:p>
        </w:tc>
        <w:tc>
          <w:tcPr>
            <w:tcW w:w="1753"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2.行政许可决定。</w:t>
            </w:r>
          </w:p>
        </w:tc>
        <w:tc>
          <w:tcPr>
            <w:tcW w:w="1500"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1.《中华人民共和国行政许可法》；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3.《出版管理条例》；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4.《出版物市场管理规定》；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5.《关于全面推进政务公开工作的意见》。</w:t>
            </w:r>
          </w:p>
        </w:tc>
        <w:tc>
          <w:tcPr>
            <w:tcW w:w="863" w:type="dxa"/>
            <w:tcBorders>
              <w:top w:val="nil"/>
              <w:left w:val="single" w:color="000000" w:sz="8" w:space="0"/>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信息形成或变更之日起20个工作日内公开</w:t>
            </w:r>
          </w:p>
        </w:tc>
        <w:tc>
          <w:tcPr>
            <w:tcW w:w="7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kern w:val="0"/>
                <w:sz w:val="21"/>
                <w:szCs w:val="21"/>
                <w:lang w:val="en-US" w:eastAsia="zh-CN" w:bidi="ar"/>
              </w:rPr>
              <w:t>额敏县委宣传部</w:t>
            </w:r>
          </w:p>
        </w:tc>
        <w:tc>
          <w:tcPr>
            <w:tcW w:w="239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□精准推送    □其他   </w:t>
            </w:r>
          </w:p>
        </w:tc>
        <w:tc>
          <w:tcPr>
            <w:tcW w:w="32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08"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77"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1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44"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49" w:hRule="atLeast"/>
          <w:jc w:val="center"/>
        </w:trPr>
        <w:tc>
          <w:tcPr>
            <w:tcW w:w="357"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w:t>
            </w:r>
          </w:p>
        </w:tc>
        <w:tc>
          <w:tcPr>
            <w:tcW w:w="37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5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对非法从事印刷经营活动的行政处罚</w:t>
            </w:r>
          </w:p>
        </w:tc>
        <w:tc>
          <w:tcPr>
            <w:tcW w:w="1753"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1500"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1.《印刷业管理条例》；2.《国务院关于促进市场公平竞争维护市场正常秩序的若干意见》；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5.《关于全面推进政务公开工作的意见》。</w:t>
            </w:r>
          </w:p>
        </w:tc>
        <w:tc>
          <w:tcPr>
            <w:tcW w:w="863" w:type="dxa"/>
            <w:tcBorders>
              <w:top w:val="nil"/>
              <w:left w:val="single" w:color="000000" w:sz="8" w:space="0"/>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执法决定信息在决定作出之日起7个工作日内公开，其他相关信息形成或变更之日起20个工作日内公开</w:t>
            </w:r>
          </w:p>
        </w:tc>
        <w:tc>
          <w:tcPr>
            <w:tcW w:w="7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kern w:val="0"/>
                <w:sz w:val="21"/>
                <w:szCs w:val="21"/>
                <w:lang w:val="en-US" w:eastAsia="zh-CN" w:bidi="ar"/>
              </w:rPr>
              <w:t>额敏县委宣传部</w:t>
            </w:r>
          </w:p>
        </w:tc>
        <w:tc>
          <w:tcPr>
            <w:tcW w:w="239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□精准推送    □其他  </w:t>
            </w:r>
          </w:p>
        </w:tc>
        <w:tc>
          <w:tcPr>
            <w:tcW w:w="32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08"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77"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1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44"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092" w:hRule="atLeast"/>
          <w:jc w:val="center"/>
        </w:trPr>
        <w:tc>
          <w:tcPr>
            <w:tcW w:w="357"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w:t>
            </w:r>
          </w:p>
        </w:tc>
        <w:tc>
          <w:tcPr>
            <w:tcW w:w="37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w:t>
            </w:r>
          </w:p>
        </w:tc>
        <w:tc>
          <w:tcPr>
            <w:tcW w:w="55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对非法从事复制经营活动的行政处罚</w:t>
            </w:r>
          </w:p>
        </w:tc>
        <w:tc>
          <w:tcPr>
            <w:tcW w:w="1753"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1500"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1.《音像制品管理条例》；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2.《复制管理办法》；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6.《关于全面推进政务公开工作的意见》。</w:t>
            </w:r>
          </w:p>
        </w:tc>
        <w:tc>
          <w:tcPr>
            <w:tcW w:w="863" w:type="dxa"/>
            <w:tcBorders>
              <w:top w:val="nil"/>
              <w:left w:val="single" w:color="000000" w:sz="8" w:space="0"/>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执法决定信息在决定作出之日起7个工作日内公开，其他相关信息形成或变更之日起20个工作日内公开</w:t>
            </w:r>
          </w:p>
        </w:tc>
        <w:tc>
          <w:tcPr>
            <w:tcW w:w="7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kern w:val="0"/>
                <w:sz w:val="21"/>
                <w:szCs w:val="21"/>
                <w:lang w:val="en-US" w:eastAsia="zh-CN" w:bidi="ar"/>
              </w:rPr>
              <w:t>额敏县委宣传部</w:t>
            </w:r>
          </w:p>
        </w:tc>
        <w:tc>
          <w:tcPr>
            <w:tcW w:w="239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□精准推送    □其他  </w:t>
            </w:r>
          </w:p>
        </w:tc>
        <w:tc>
          <w:tcPr>
            <w:tcW w:w="32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08"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77"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1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44"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166" w:hRule="atLeast"/>
          <w:jc w:val="center"/>
        </w:trPr>
        <w:tc>
          <w:tcPr>
            <w:tcW w:w="357"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w:t>
            </w:r>
          </w:p>
        </w:tc>
        <w:tc>
          <w:tcPr>
            <w:tcW w:w="37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5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对非法编印内部资料性出版物行为的行政处罚</w:t>
            </w:r>
          </w:p>
        </w:tc>
        <w:tc>
          <w:tcPr>
            <w:tcW w:w="1753"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处罚对象、案件名称、违法主要事实、处罚种类及内容、处罚依据、作出处罚决定部门、处罚时间、处罚结果、处罚决定书文号、处罚履行方式和期限等。</w:t>
            </w:r>
          </w:p>
        </w:tc>
        <w:tc>
          <w:tcPr>
            <w:tcW w:w="1500"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1.《印刷业管理条例》；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2.《内部资料性出版物管理办法》；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6.《关于全面推进政务公开工作的意见》。</w:t>
            </w:r>
          </w:p>
        </w:tc>
        <w:tc>
          <w:tcPr>
            <w:tcW w:w="863" w:type="dxa"/>
            <w:tcBorders>
              <w:top w:val="nil"/>
              <w:left w:val="single" w:color="000000" w:sz="8" w:space="0"/>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执法决定信息在决定作出之日起7个工作日内公开，其他相关信息形成或变更之日起20个工作日内公开</w:t>
            </w:r>
          </w:p>
        </w:tc>
        <w:tc>
          <w:tcPr>
            <w:tcW w:w="7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kern w:val="0"/>
                <w:sz w:val="21"/>
                <w:szCs w:val="21"/>
                <w:lang w:val="en-US" w:eastAsia="zh-CN" w:bidi="ar"/>
              </w:rPr>
              <w:t>额敏县委宣传部</w:t>
            </w:r>
          </w:p>
        </w:tc>
        <w:tc>
          <w:tcPr>
            <w:tcW w:w="239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□精准推送      □其他  </w:t>
            </w:r>
          </w:p>
        </w:tc>
        <w:tc>
          <w:tcPr>
            <w:tcW w:w="32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08"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77"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1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44"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96" w:hRule="atLeast"/>
          <w:jc w:val="center"/>
        </w:trPr>
        <w:tc>
          <w:tcPr>
            <w:tcW w:w="357"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37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w:t>
            </w:r>
          </w:p>
        </w:tc>
        <w:tc>
          <w:tcPr>
            <w:tcW w:w="55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对非法从事出版物发行活动的行政处罚</w:t>
            </w:r>
          </w:p>
        </w:tc>
        <w:tc>
          <w:tcPr>
            <w:tcW w:w="1753"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1500"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1.《出版管理条例》；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2.《出版物市场管理规定》；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3.《国务院关于促进市场公平竞争维护市场正常秩序的若干意见》；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4.《国务院办公厅关于全面推行行政执法公示制度执法全过程记录制度重大执法决定法制审核制度的指导意见》；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6.《关于全面推进政务公开工作的意见》。</w:t>
            </w:r>
          </w:p>
        </w:tc>
        <w:tc>
          <w:tcPr>
            <w:tcW w:w="863" w:type="dxa"/>
            <w:tcBorders>
              <w:top w:val="nil"/>
              <w:left w:val="single" w:color="000000" w:sz="8" w:space="0"/>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执法决定信息在决定作出之日起7个工作日内公开，其他相关信息形成或变更之日起20个工作日内公开</w:t>
            </w:r>
          </w:p>
        </w:tc>
        <w:tc>
          <w:tcPr>
            <w:tcW w:w="7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kern w:val="0"/>
                <w:sz w:val="21"/>
                <w:szCs w:val="21"/>
                <w:lang w:val="en-US" w:eastAsia="zh-CN" w:bidi="ar"/>
              </w:rPr>
              <w:t>额敏县委宣传部</w:t>
            </w:r>
          </w:p>
        </w:tc>
        <w:tc>
          <w:tcPr>
            <w:tcW w:w="239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□精准推送       □其他  </w:t>
            </w:r>
          </w:p>
        </w:tc>
        <w:tc>
          <w:tcPr>
            <w:tcW w:w="32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08"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77"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1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44"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082" w:hRule="atLeast"/>
          <w:jc w:val="center"/>
        </w:trPr>
        <w:tc>
          <w:tcPr>
            <w:tcW w:w="357"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6</w:t>
            </w:r>
          </w:p>
        </w:tc>
        <w:tc>
          <w:tcPr>
            <w:tcW w:w="37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w:t>
            </w:r>
          </w:p>
        </w:tc>
        <w:tc>
          <w:tcPr>
            <w:tcW w:w="55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对损害公共利益的有关著作权侵权行为作出行政处罚</w:t>
            </w:r>
          </w:p>
        </w:tc>
        <w:tc>
          <w:tcPr>
            <w:tcW w:w="1753"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1500"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1.《中华人民共和国著作权法》；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2.《中华人民共和国著作权法实施条例》；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3.《计算机软件保护条例》；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4.《信息网络传播权保护条例》；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6.《关于全面推进政务公开工作的意见》。</w:t>
            </w:r>
          </w:p>
        </w:tc>
        <w:tc>
          <w:tcPr>
            <w:tcW w:w="863" w:type="dxa"/>
            <w:tcBorders>
              <w:top w:val="nil"/>
              <w:left w:val="single" w:color="000000" w:sz="8" w:space="0"/>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kern w:val="0"/>
                <w:sz w:val="21"/>
                <w:szCs w:val="21"/>
                <w:lang w:val="en-US" w:eastAsia="zh-CN" w:bidi="ar"/>
              </w:rPr>
            </w:pPr>
            <w:r>
              <w:rPr>
                <w:rFonts w:hint="default" w:ascii="方正仿宋_GBK" w:hAnsi="方正仿宋_GBK" w:eastAsia="方正仿宋_GBK" w:cs="方正仿宋_GBK"/>
                <w:kern w:val="0"/>
                <w:sz w:val="21"/>
                <w:szCs w:val="21"/>
                <w:lang w:val="en-US" w:eastAsia="zh-CN" w:bidi="ar"/>
              </w:rPr>
              <w:t>执法决定信息在决定作出之日起7个工作日内公开，其他相关信息形成或变更之日起20个工作日内公开</w:t>
            </w:r>
          </w:p>
        </w:tc>
        <w:tc>
          <w:tcPr>
            <w:tcW w:w="7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 w:val="21"/>
                <w:szCs w:val="21"/>
                <w:lang w:val="en-US" w:eastAsia="zh-CN" w:bidi="ar"/>
              </w:rPr>
              <w:t>额敏县委宣传部</w:t>
            </w:r>
          </w:p>
        </w:tc>
        <w:tc>
          <w:tcPr>
            <w:tcW w:w="239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□精准推送    □其他  </w:t>
            </w:r>
          </w:p>
        </w:tc>
        <w:tc>
          <w:tcPr>
            <w:tcW w:w="32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08"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31"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77"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19"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44" w:type="dxa"/>
            <w:tcBorders>
              <w:top w:val="nil"/>
              <w:left w:val="nil"/>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98" w:hRule="atLeast"/>
          <w:jc w:val="center"/>
        </w:trPr>
        <w:tc>
          <w:tcPr>
            <w:tcW w:w="357" w:type="dxa"/>
            <w:tcBorders>
              <w:top w:val="nil"/>
              <w:left w:val="single" w:color="000000" w:sz="8" w:space="0"/>
              <w:bottom w:val="single" w:color="000000" w:sz="8" w:space="0"/>
              <w:right w:val="nil"/>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7</w:t>
            </w:r>
          </w:p>
        </w:tc>
        <w:tc>
          <w:tcPr>
            <w:tcW w:w="37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行政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w:t>
            </w:r>
          </w:p>
        </w:tc>
        <w:tc>
          <w:tcPr>
            <w:tcW w:w="556"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对违反《信息网络传播权保护条例》的有关行为作出行政处罚</w:t>
            </w:r>
          </w:p>
        </w:tc>
        <w:tc>
          <w:tcPr>
            <w:tcW w:w="1753"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处罚对象、案件名称、违法主要事实、处罚种类和内容、处罚依据、作出处罚决定部门、处罚时间、处罚结果、处罚决定书文号、处罚履行方式和期限等。</w:t>
            </w:r>
          </w:p>
        </w:tc>
        <w:tc>
          <w:tcPr>
            <w:tcW w:w="1500" w:type="dxa"/>
            <w:tcBorders>
              <w:top w:val="nil"/>
              <w:left w:val="single" w:color="000000" w:sz="8" w:space="0"/>
              <w:bottom w:val="single" w:color="000000" w:sz="8" w:space="0"/>
              <w:right w:val="nil"/>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1.《信息网络传播权保护条例》；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3.《关于全面推进政务公开工作的意见》。</w:t>
            </w:r>
          </w:p>
        </w:tc>
        <w:tc>
          <w:tcPr>
            <w:tcW w:w="863" w:type="dxa"/>
            <w:tcBorders>
              <w:top w:val="nil"/>
              <w:left w:val="single" w:color="000000" w:sz="8" w:space="0"/>
              <w:bottom w:val="single" w:color="000000"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执法决定信息在决定作出之日起7个工作日内公开，其他相关信息形成或变更之日起20个工作日内公开</w:t>
            </w:r>
          </w:p>
        </w:tc>
        <w:tc>
          <w:tcPr>
            <w:tcW w:w="731"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kern w:val="0"/>
                <w:sz w:val="21"/>
                <w:szCs w:val="21"/>
                <w:lang w:val="en-US" w:eastAsia="zh-CN" w:bidi="ar"/>
              </w:rPr>
              <w:t>额敏县委宣传部</w:t>
            </w:r>
          </w:p>
        </w:tc>
        <w:tc>
          <w:tcPr>
            <w:tcW w:w="239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□精准推送       □其他  </w:t>
            </w:r>
          </w:p>
        </w:tc>
        <w:tc>
          <w:tcPr>
            <w:tcW w:w="321"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08"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31"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77"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519"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544" w:type="dxa"/>
            <w:tcBorders>
              <w:top w:val="nil"/>
              <w:left w:val="nil"/>
              <w:bottom w:val="single" w:color="auto" w:sz="8" w:space="0"/>
              <w:right w:val="single" w:color="auto"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A1FB4"/>
    <w:rsid w:val="22F07B47"/>
    <w:rsid w:val="36BF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2023-10-01T03:38:00Z</dcterms:created>
  <dc:creator>Administrator</dc:creator>
  <cp:lastModifiedBy>Administrator</cp:lastModifiedBy>
  <dcterms:modified xsi:type="dcterms:W3CDTF">2023-12-14T10:48:07Z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