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default" w:ascii="华文中宋" w:hAnsi="华文中宋" w:eastAsia="华文中宋" w:cs="华文中宋"/>
          <w:kern w:val="0"/>
          <w:sz w:val="36"/>
          <w:szCs w:val="36"/>
          <w:lang w:val="en-US" w:eastAsia="zh-CN"/>
        </w:rPr>
      </w:pPr>
      <w:bookmarkStart w:id="0" w:name="OLE_LINK2"/>
      <w:bookmarkStart w:id="1" w:name="OLE_LINK4"/>
      <w:bookmarkStart w:id="2" w:name="OLE_LINK1"/>
      <w:r>
        <w:rPr>
          <w:rFonts w:hint="eastAsia" w:ascii="华文中宋" w:hAnsi="华文中宋" w:eastAsia="华文中宋" w:cs="华文中宋"/>
          <w:b/>
          <w:bCs/>
          <w:kern w:val="0"/>
          <w:sz w:val="36"/>
          <w:szCs w:val="36"/>
        </w:rPr>
        <w:t>额敏县</w:t>
      </w:r>
      <w:r>
        <w:rPr>
          <w:rFonts w:hint="eastAsia" w:ascii="华文中宋" w:hAnsi="华文中宋" w:eastAsia="华文中宋" w:cs="华文中宋"/>
          <w:b/>
          <w:bCs/>
          <w:kern w:val="0"/>
          <w:sz w:val="36"/>
          <w:szCs w:val="36"/>
          <w:lang w:val="en-US" w:eastAsia="zh-CN"/>
        </w:rPr>
        <w:t>交通运输</w:t>
      </w:r>
      <w:r>
        <w:rPr>
          <w:rFonts w:hint="eastAsia" w:ascii="华文中宋" w:hAnsi="华文中宋" w:eastAsia="华文中宋" w:cs="华文中宋"/>
          <w:b/>
          <w:bCs/>
          <w:kern w:val="0"/>
          <w:sz w:val="36"/>
          <w:szCs w:val="36"/>
        </w:rPr>
        <w:t>局行政处罚案件公示</w:t>
      </w:r>
      <w:r>
        <w:rPr>
          <w:rFonts w:hint="eastAsia" w:ascii="华文中宋" w:hAnsi="华文中宋" w:eastAsia="华文中宋" w:cs="华文中宋"/>
          <w:b/>
          <w:bCs/>
          <w:kern w:val="0"/>
          <w:sz w:val="36"/>
          <w:szCs w:val="36"/>
          <w:lang w:eastAsia="zh-CN"/>
        </w:rPr>
        <w:t>【</w:t>
      </w:r>
      <w:r>
        <w:rPr>
          <w:rFonts w:hint="eastAsia" w:ascii="华文中宋" w:hAnsi="华文中宋" w:eastAsia="华文中宋" w:cs="华文中宋"/>
          <w:b/>
          <w:bCs/>
          <w:kern w:val="0"/>
          <w:sz w:val="36"/>
          <w:szCs w:val="36"/>
          <w:lang w:val="en-US" w:eastAsia="zh-CN"/>
        </w:rPr>
        <w:t>2026</w:t>
      </w:r>
      <w:r>
        <w:rPr>
          <w:rFonts w:hint="eastAsia" w:ascii="华文中宋" w:hAnsi="华文中宋" w:eastAsia="华文中宋" w:cs="华文中宋"/>
          <w:b/>
          <w:bCs/>
          <w:kern w:val="0"/>
          <w:sz w:val="36"/>
          <w:szCs w:val="36"/>
          <w:lang w:eastAsia="zh-CN"/>
        </w:rPr>
        <w:t>】</w:t>
      </w:r>
      <w:r>
        <w:rPr>
          <w:rFonts w:hint="eastAsia" w:ascii="华文中宋" w:hAnsi="华文中宋" w:eastAsia="华文中宋" w:cs="华文中宋"/>
          <w:b/>
          <w:bCs/>
          <w:kern w:val="0"/>
          <w:sz w:val="36"/>
          <w:szCs w:val="36"/>
          <w:lang w:val="en-US" w:eastAsia="zh-CN"/>
        </w:rPr>
        <w:t>31号</w:t>
      </w:r>
    </w:p>
    <w:bookmarkEnd w:id="0"/>
    <w:p>
      <w:pPr>
        <w:widowControl/>
        <w:jc w:val="center"/>
        <w:rPr>
          <w:rFonts w:hint="eastAsia" w:asciiTheme="minorEastAsia" w:hAnsiTheme="minorEastAsia" w:eastAsiaTheme="minorEastAsia" w:cstheme="minorEastAsia"/>
          <w:kern w:val="0"/>
          <w:sz w:val="32"/>
          <w:szCs w:val="32"/>
          <w:lang w:val="en-US" w:eastAsia="zh-CN"/>
        </w:rPr>
      </w:pPr>
      <w:r>
        <w:rPr>
          <w:rFonts w:hint="eastAsia" w:asciiTheme="minorEastAsia" w:hAnsiTheme="minorEastAsia" w:eastAsiaTheme="minorEastAsia" w:cstheme="minorEastAsia"/>
          <w:b/>
          <w:bCs/>
          <w:kern w:val="0"/>
          <w:sz w:val="32"/>
          <w:szCs w:val="32"/>
          <w:lang w:val="en-US" w:eastAsia="zh-CN"/>
        </w:rPr>
        <w:t>2026年10</w:t>
      </w:r>
      <w:r>
        <w:rPr>
          <w:rFonts w:hint="eastAsia" w:asciiTheme="minorEastAsia" w:hAnsiTheme="minorEastAsia" w:eastAsiaTheme="minorEastAsia" w:cstheme="minorEastAsia"/>
          <w:b/>
          <w:bCs/>
          <w:kern w:val="0"/>
          <w:sz w:val="32"/>
          <w:szCs w:val="32"/>
        </w:rPr>
        <w:t>月</w:t>
      </w:r>
      <w:r>
        <w:rPr>
          <w:rFonts w:hint="eastAsia" w:asciiTheme="minorEastAsia" w:hAnsiTheme="minorEastAsia" w:eastAsiaTheme="minorEastAsia" w:cstheme="minorEastAsia"/>
          <w:b/>
          <w:bCs/>
          <w:kern w:val="0"/>
          <w:sz w:val="32"/>
          <w:szCs w:val="32"/>
          <w:lang w:val="en-US" w:eastAsia="zh-CN"/>
        </w:rPr>
        <w:t>23日至2026年10月27日</w:t>
      </w:r>
    </w:p>
    <w:p>
      <w:pPr>
        <w:widowControl/>
        <w:ind w:right="960"/>
        <w:rPr>
          <w:rFonts w:hint="eastAsia" w:asciiTheme="minorEastAsia" w:hAnsiTheme="minorEastAsia" w:eastAsiaTheme="minorEastAsia" w:cstheme="minorEastAsia"/>
          <w:kern w:val="0"/>
          <w:sz w:val="28"/>
          <w:szCs w:val="28"/>
          <w:lang w:val="en-US" w:eastAsia="zh-CN"/>
        </w:rPr>
      </w:pPr>
      <w:r>
        <w:rPr>
          <w:rFonts w:hint="eastAsia" w:asciiTheme="minorEastAsia" w:hAnsiTheme="minorEastAsia" w:eastAsiaTheme="minorEastAsia" w:cstheme="minorEastAsia"/>
          <w:kern w:val="0"/>
          <w:sz w:val="28"/>
          <w:szCs w:val="28"/>
        </w:rPr>
        <w:t>填报单位：</w:t>
      </w:r>
      <w:bookmarkStart w:id="3" w:name="OLE_LINK3"/>
      <w:r>
        <w:rPr>
          <w:rFonts w:hint="eastAsia" w:asciiTheme="minorEastAsia" w:hAnsiTheme="minorEastAsia" w:eastAsiaTheme="minorEastAsia" w:cstheme="minorEastAsia"/>
          <w:kern w:val="0"/>
          <w:sz w:val="28"/>
          <w:szCs w:val="28"/>
        </w:rPr>
        <w:t>额敏县</w:t>
      </w:r>
      <w:r>
        <w:rPr>
          <w:rFonts w:hint="eastAsia" w:asciiTheme="minorEastAsia" w:hAnsiTheme="minorEastAsia" w:eastAsiaTheme="minorEastAsia" w:cstheme="minorEastAsia"/>
          <w:kern w:val="0"/>
          <w:sz w:val="28"/>
          <w:szCs w:val="28"/>
          <w:lang w:val="en-US" w:eastAsia="zh-CN"/>
        </w:rPr>
        <w:t>交通运输局</w:t>
      </w:r>
      <w:bookmarkEnd w:id="3"/>
      <w:r>
        <w:rPr>
          <w:rFonts w:hint="eastAsia" w:asciiTheme="minorEastAsia" w:hAnsiTheme="minorEastAsia" w:eastAsiaTheme="minorEastAsia" w:cstheme="minorEastAsia"/>
          <w:kern w:val="0"/>
          <w:sz w:val="28"/>
          <w:szCs w:val="28"/>
        </w:rPr>
        <w:t xml:space="preserve">                </w:t>
      </w:r>
      <w:r>
        <w:rPr>
          <w:rFonts w:hint="eastAsia" w:asciiTheme="minorEastAsia" w:hAnsiTheme="minorEastAsia" w:eastAsiaTheme="minorEastAsia" w:cstheme="minorEastAsia"/>
          <w:kern w:val="0"/>
          <w:sz w:val="28"/>
          <w:szCs w:val="28"/>
          <w:lang w:val="en-US" w:eastAsia="zh-CN"/>
        </w:rPr>
        <w:t xml:space="preserve">                       </w:t>
      </w:r>
      <w:r>
        <w:rPr>
          <w:rFonts w:hint="eastAsia" w:asciiTheme="minorEastAsia" w:hAnsiTheme="minorEastAsia" w:eastAsiaTheme="minorEastAsia" w:cstheme="minorEastAsia"/>
          <w:kern w:val="0"/>
          <w:sz w:val="28"/>
          <w:szCs w:val="28"/>
        </w:rPr>
        <w:t>填报日期：</w:t>
      </w:r>
      <w:r>
        <w:rPr>
          <w:rFonts w:hint="eastAsia" w:asciiTheme="minorEastAsia" w:hAnsiTheme="minorEastAsia" w:eastAsiaTheme="minorEastAsia" w:cstheme="minorEastAsia"/>
          <w:kern w:val="0"/>
          <w:sz w:val="28"/>
          <w:szCs w:val="28"/>
          <w:lang w:val="en-US" w:eastAsia="zh-CN"/>
        </w:rPr>
        <w:t>2026年10月30日</w:t>
      </w:r>
    </w:p>
    <w:tbl>
      <w:tblPr>
        <w:tblStyle w:val="3"/>
        <w:tblW w:w="13890" w:type="dxa"/>
        <w:tblCellSpacing w:w="0" w:type="dxa"/>
        <w:tblInd w:w="0" w:type="dxa"/>
        <w:tblBorders>
          <w:top w:val="none" w:color="auto" w:sz="0" w:space="0"/>
          <w:left w:val="outset" w:color="auto" w:sz="6" w:space="0"/>
          <w:bottom w:val="outset" w:color="auto" w:sz="6" w:space="0"/>
          <w:right w:val="outset" w:color="auto" w:sz="6" w:space="0"/>
          <w:insideH w:val="none" w:color="auto" w:sz="0" w:space="0"/>
          <w:insideV w:val="outset" w:color="auto" w:sz="6" w:space="0"/>
        </w:tblBorders>
        <w:tblLayout w:type="fixed"/>
        <w:tblCellMar>
          <w:top w:w="0" w:type="dxa"/>
          <w:left w:w="0" w:type="dxa"/>
          <w:bottom w:w="0" w:type="dxa"/>
          <w:right w:w="0" w:type="dxa"/>
        </w:tblCellMar>
      </w:tblPr>
      <w:tblGrid>
        <w:gridCol w:w="899"/>
        <w:gridCol w:w="491"/>
        <w:gridCol w:w="1299"/>
        <w:gridCol w:w="2482"/>
        <w:gridCol w:w="3488"/>
        <w:gridCol w:w="945"/>
        <w:gridCol w:w="1245"/>
        <w:gridCol w:w="3041"/>
      </w:tblGrid>
      <w:tr>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Layout w:type="fixed"/>
          <w:tblCellMar>
            <w:top w:w="0" w:type="dxa"/>
            <w:left w:w="0" w:type="dxa"/>
            <w:bottom w:w="0" w:type="dxa"/>
            <w:right w:w="0" w:type="dxa"/>
          </w:tblCellMar>
        </w:tblPrEx>
        <w:trPr>
          <w:cantSplit/>
          <w:trHeight w:val="936" w:hRule="atLeast"/>
          <w:tblCellSpacing w:w="0" w:type="dxa"/>
        </w:trPr>
        <w:tc>
          <w:tcPr>
            <w:tcW w:w="899" w:type="dxa"/>
            <w:tcBorders>
              <w:top w:val="outset" w:color="auto" w:sz="6" w:space="0"/>
              <w:bottom w:val="outset" w:color="auto" w:sz="6" w:space="0"/>
            </w:tcBorders>
            <w:noWrap w:val="0"/>
            <w:vAlign w:val="center"/>
          </w:tcPr>
          <w:p>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处罚案件总数（个）</w:t>
            </w:r>
          </w:p>
        </w:tc>
        <w:tc>
          <w:tcPr>
            <w:tcW w:w="491" w:type="dxa"/>
            <w:tcBorders>
              <w:top w:val="outset" w:color="auto" w:sz="6" w:space="0"/>
              <w:bottom w:val="outset" w:color="auto" w:sz="6" w:space="0"/>
            </w:tcBorders>
            <w:noWrap w:val="0"/>
            <w:vAlign w:val="center"/>
          </w:tcPr>
          <w:p>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序号</w:t>
            </w:r>
          </w:p>
        </w:tc>
        <w:tc>
          <w:tcPr>
            <w:tcW w:w="1299" w:type="dxa"/>
            <w:tcBorders>
              <w:top w:val="outset" w:color="auto" w:sz="6" w:space="0"/>
              <w:bottom w:val="outset" w:color="auto" w:sz="6" w:space="0"/>
            </w:tcBorders>
            <w:noWrap w:val="0"/>
            <w:vAlign w:val="center"/>
          </w:tcPr>
          <w:p>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处罚时间</w:t>
            </w:r>
          </w:p>
        </w:tc>
        <w:tc>
          <w:tcPr>
            <w:tcW w:w="2482" w:type="dxa"/>
            <w:tcBorders>
              <w:top w:val="outset" w:color="auto" w:sz="6" w:space="0"/>
              <w:bottom w:val="outset" w:color="auto" w:sz="6" w:space="0"/>
            </w:tcBorders>
            <w:noWrap w:val="0"/>
            <w:vAlign w:val="center"/>
          </w:tcPr>
          <w:p>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车属单位</w:t>
            </w:r>
          </w:p>
        </w:tc>
        <w:tc>
          <w:tcPr>
            <w:tcW w:w="3488" w:type="dxa"/>
            <w:tcBorders>
              <w:top w:val="outset" w:color="auto" w:sz="6" w:space="0"/>
              <w:bottom w:val="outset" w:color="auto" w:sz="6" w:space="0"/>
            </w:tcBorders>
            <w:noWrap w:val="0"/>
            <w:vAlign w:val="center"/>
          </w:tcPr>
          <w:p>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违法事由</w:t>
            </w:r>
          </w:p>
        </w:tc>
        <w:tc>
          <w:tcPr>
            <w:tcW w:w="945" w:type="dxa"/>
            <w:tcBorders>
              <w:top w:val="outset" w:color="auto" w:sz="6" w:space="0"/>
              <w:bottom w:val="outset" w:color="auto" w:sz="6" w:space="0"/>
            </w:tcBorders>
            <w:noWrap w:val="0"/>
            <w:vAlign w:val="center"/>
          </w:tcPr>
          <w:p>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是否采取强制措施</w:t>
            </w:r>
          </w:p>
        </w:tc>
        <w:tc>
          <w:tcPr>
            <w:tcW w:w="1245" w:type="dxa"/>
            <w:tcBorders>
              <w:top w:val="outset" w:color="auto" w:sz="6" w:space="0"/>
              <w:bottom w:val="outset" w:color="auto" w:sz="6" w:space="0"/>
            </w:tcBorders>
            <w:noWrap w:val="0"/>
            <w:vAlign w:val="center"/>
          </w:tcPr>
          <w:p>
            <w:pPr>
              <w:widowControl/>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处罚</w:t>
            </w:r>
            <w:r>
              <w:rPr>
                <w:rFonts w:hint="eastAsia" w:asciiTheme="minorEastAsia" w:hAnsiTheme="minorEastAsia" w:eastAsiaTheme="minorEastAsia" w:cstheme="minorEastAsia"/>
                <w:kern w:val="0"/>
                <w:sz w:val="24"/>
                <w:szCs w:val="24"/>
                <w:lang w:val="en-US" w:eastAsia="zh-CN"/>
              </w:rPr>
              <w:t>金额（元）</w:t>
            </w:r>
          </w:p>
        </w:tc>
        <w:tc>
          <w:tcPr>
            <w:tcW w:w="3041" w:type="dxa"/>
            <w:tcBorders>
              <w:top w:val="outset" w:color="auto" w:sz="6" w:space="0"/>
              <w:bottom w:val="outset" w:color="auto" w:sz="6" w:space="0"/>
            </w:tcBorders>
            <w:noWrap w:val="0"/>
            <w:vAlign w:val="center"/>
          </w:tcPr>
          <w:p>
            <w:pPr>
              <w:widowControl/>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案号</w:t>
            </w:r>
          </w:p>
        </w:tc>
      </w:tr>
      <w:tr>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Layout w:type="fixed"/>
          <w:tblCellMar>
            <w:top w:w="0" w:type="dxa"/>
            <w:left w:w="0" w:type="dxa"/>
            <w:bottom w:w="0" w:type="dxa"/>
            <w:right w:w="0" w:type="dxa"/>
          </w:tblCellMar>
        </w:tblPrEx>
        <w:trPr>
          <w:cantSplit/>
          <w:trHeight w:val="923" w:hRule="exact"/>
          <w:tblCellSpacing w:w="0" w:type="dxa"/>
        </w:trPr>
        <w:tc>
          <w:tcPr>
            <w:tcW w:w="899" w:type="dxa"/>
            <w:vMerge w:val="restart"/>
            <w:tcBorders>
              <w:top w:val="outset" w:color="auto" w:sz="6" w:space="0"/>
            </w:tcBorders>
            <w:noWrap w:val="0"/>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5</w:t>
            </w: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1</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2026年 10月 23日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额敏县双礼商贸有限公司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额敏县双礼商贸有限公司涉嫌道路运输车辆未按规定进行年度审验案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500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新塔额交执运政简〔2026〕0107号</w:t>
            </w: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tc>
      </w:tr>
      <w:tr>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Layout w:type="fixed"/>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2</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2026年 10月 23日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额敏县双礼商贸有限公司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额敏县双礼商贸有限公司涉嫌道路运输车辆未按规定进行年度审验案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500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新塔额交执运政简〔2026〕0108号</w:t>
            </w:r>
          </w:p>
        </w:tc>
      </w:tr>
      <w:tr>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Layout w:type="fixed"/>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3</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2026年 10月 27日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额敏晟耀运输有限公司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额敏晟耀运输有限公司涉嫌道路运输车辆未按规定进行年度审验案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500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新塔额交执运政简〔2026〕0109号</w:t>
            </w:r>
          </w:p>
        </w:tc>
      </w:tr>
      <w:tr>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Layout w:type="fixed"/>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4</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2026年 10月 27日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额敏晟耀运输有限公司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额敏晟耀运输有限公司涉嫌道路运输车辆未按规定进行年度审验案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500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新塔额交执运政简〔2026〕0090号</w:t>
            </w:r>
          </w:p>
        </w:tc>
      </w:tr>
      <w:tr>
        <w:tblPrEx>
          <w:tblBorders>
            <w:top w:val="none" w:color="auto" w:sz="0" w:space="0"/>
            <w:left w:val="outset" w:color="auto" w:sz="6" w:space="0"/>
            <w:bottom w:val="outset" w:color="auto" w:sz="6" w:space="0"/>
            <w:right w:val="outset" w:color="auto" w:sz="6" w:space="0"/>
            <w:insideH w:val="none" w:color="auto" w:sz="0" w:space="0"/>
            <w:insideV w:val="outset" w:color="auto" w:sz="6" w:space="0"/>
          </w:tblBorders>
          <w:tblLayout w:type="fixed"/>
          <w:tblCellMar>
            <w:top w:w="0" w:type="dxa"/>
            <w:left w:w="0" w:type="dxa"/>
            <w:bottom w:w="0" w:type="dxa"/>
            <w:right w:w="0" w:type="dxa"/>
          </w:tblCellMar>
        </w:tblPrEx>
        <w:trPr>
          <w:cantSplit/>
          <w:trHeight w:val="982" w:hRule="exact"/>
          <w:tblCellSpacing w:w="0" w:type="dxa"/>
        </w:trPr>
        <w:tc>
          <w:tcPr>
            <w:tcW w:w="899" w:type="dxa"/>
            <w:vMerge w:val="continue"/>
            <w:noWrap w:val="0"/>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tc>
        <w:tc>
          <w:tcPr>
            <w:tcW w:w="491" w:type="dxa"/>
            <w:tcBorders>
              <w:top w:val="outset" w:color="auto" w:sz="6" w:space="0"/>
              <w:bottom w:val="outset" w:color="auto" w:sz="6" w:space="0"/>
            </w:tcBorders>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5</w:t>
            </w:r>
          </w:p>
        </w:tc>
        <w:tc>
          <w:tcPr>
            <w:tcW w:w="1299"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26年 10月 27日</w:t>
            </w:r>
          </w:p>
        </w:tc>
        <w:tc>
          <w:tcPr>
            <w:tcW w:w="2482"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额敏晟耀运输有限公司</w:t>
            </w:r>
          </w:p>
        </w:tc>
        <w:tc>
          <w:tcPr>
            <w:tcW w:w="3488"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额敏晟耀运输有限公司涉嫌道路运输经营者未按照规定的周期和频次进行车辆检验检测案</w:t>
            </w:r>
          </w:p>
        </w:tc>
        <w:tc>
          <w:tcPr>
            <w:tcW w:w="9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否</w:t>
            </w:r>
          </w:p>
        </w:tc>
        <w:tc>
          <w:tcPr>
            <w:tcW w:w="1245"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p>
          <w:p>
            <w:pPr>
              <w:keepNext w:val="0"/>
              <w:keepLines w:val="0"/>
              <w:widowControl/>
              <w:suppressLineNumbers w:val="0"/>
              <w:jc w:val="center"/>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1000</w:t>
            </w:r>
          </w:p>
        </w:tc>
        <w:tc>
          <w:tcPr>
            <w:tcW w:w="3041" w:type="dxa"/>
            <w:tcBorders>
              <w:top w:val="outset" w:color="auto" w:sz="6" w:space="0"/>
              <w:bottom w:val="outset" w:color="auto" w:sz="6" w:space="0"/>
            </w:tcBorders>
            <w:shd w:val="clear" w:color="auto" w:fill="auto"/>
            <w:noWrap w:val="0"/>
            <w:tcMar>
              <w:top w:w="113" w:type="dxa"/>
              <w:left w:w="0" w:type="dxa"/>
              <w:bottom w:w="113" w:type="dxa"/>
              <w:right w:w="0" w:type="dxa"/>
            </w:tcMar>
            <w:vAlign w:val="center"/>
          </w:tcPr>
          <w:p>
            <w:pPr>
              <w:keepNext w:val="0"/>
              <w:keepLines w:val="0"/>
              <w:widowControl/>
              <w:suppressLineNumbers w:val="0"/>
              <w:ind w:firstLine="450" w:firstLineChars="300"/>
              <w:jc w:val="both"/>
              <w:textAlignment w:val="bottom"/>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新塔额交执运政简〔2026〕0093号</w:t>
            </w:r>
          </w:p>
        </w:tc>
      </w:tr>
      <w:bookmarkEnd w:id="1"/>
      <w:bookmarkEnd w:id="2"/>
    </w:tbl>
    <w:p>
      <w:bookmarkStart w:id="4" w:name="_GoBack"/>
      <w:bookmarkEnd w:id="4"/>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000" w:usb1="00000000" w:usb2="00000000" w:usb3="00000000" w:csb0="00000000" w:csb1="00000000"/>
    <w:embedRegular r:id="rId1" w:fontKey="{AECE980F-5734-4FC7-BC84-78D2B7094852}"/>
  </w:font>
  <w:font w:name="Noto Sans SC">
    <w:panose1 w:val="020B02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87D15"/>
    <w:rsid w:val="003532FE"/>
    <w:rsid w:val="1E8E20FF"/>
    <w:rsid w:val="2170582A"/>
    <w:rsid w:val="243C43AB"/>
    <w:rsid w:val="27167136"/>
    <w:rsid w:val="2C187D15"/>
    <w:rsid w:val="2FA572A9"/>
    <w:rsid w:val="46C7257D"/>
    <w:rsid w:val="47BD597B"/>
    <w:rsid w:val="4A2D016F"/>
    <w:rsid w:val="63BF5E84"/>
    <w:rsid w:val="65F36C8E"/>
    <w:rsid w:val="6B301415"/>
    <w:rsid w:val="6C692E30"/>
    <w:rsid w:val="71761940"/>
    <w:rsid w:val="73CF5C6F"/>
    <w:rsid w:val="74440CC4"/>
    <w:rsid w:val="7CC905B1"/>
    <w:rsid w:val="7CD75B94"/>
    <w:rsid w:val="7DD211BD"/>
    <w:rsid w:val="7F335F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620</Words>
  <Characters>733</Characters>
  <Lines>0</Lines>
  <Paragraphs>0</Paragraphs>
  <TotalTime>13</TotalTime>
  <ScaleCrop>false</ScaleCrop>
  <LinksUpToDate>false</LinksUpToDate>
  <CharactersWithSpaces>779</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2026-08-20T02:12:00Z</dcterms:created>
  <dc:creator>安好</dc:creator>
  <cp:lastModifiedBy>Administrator</cp:lastModifiedBy>
  <cp:lastPrinted>2026-10-29T10:10:00Z</cp:lastPrinted>
  <dcterms:modified xsi:type="dcterms:W3CDTF">2026-10-30T09:04:44Z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C180EC4ABB0F40DE8A4DEAC6028F72FB_13</vt:lpwstr>
  </property>
  <property fmtid="{D5CDD505-2E9C-101B-9397-08002B2CF9AE}" pid="4" name="KSOTemplateDocerSaveRecord">
    <vt:lpwstr>eyJoZGlkIjoiYTNmMWM1NzBmNTcyMDM0MDY2M2JiM2E3YTZjNGJiMDgiLCJ1c2VySWQiOiIzMjA0NjgyNjEifQ==</vt:lpwstr>
  </property>
</Properties>
</file>