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sz w:val="20"/>
        </w:rPr>
      </w:pPr>
      <w:bookmarkStart w:id="0" w:name="OLE_LINK1"/>
    </w:p>
    <w:p>
      <w:pPr>
        <w:keepNext w:val="0"/>
        <w:keepLines w:val="0"/>
        <w:pageBreakBefore w:val="0"/>
        <w:widowControl w:val="0"/>
        <w:kinsoku/>
        <w:wordWrap/>
        <w:overflowPunct/>
        <w:topLinePunct w:val="0"/>
        <w:autoSpaceDE/>
        <w:autoSpaceDN/>
        <w:bidi w:val="0"/>
        <w:adjustRightInd/>
        <w:snapToGrid/>
        <w:spacing w:before="210" w:line="212" w:lineRule="auto"/>
        <w:ind w:left="2511" w:leftChars="724" w:right="1155" w:rightChars="550" w:hanging="991" w:hangingChars="261"/>
        <w:jc w:val="center"/>
        <w:textAlignment w:val="auto"/>
        <w:rPr>
          <w:rFonts w:hint="eastAsia" w:ascii="方正小标宋_GBK" w:hAnsi="方正小标宋_GBK" w:eastAsia="方正小标宋_GBK"/>
          <w:sz w:val="38"/>
        </w:rPr>
      </w:pPr>
      <w:r>
        <w:rPr>
          <w:rFonts w:hint="eastAsia" w:ascii="方正小标宋_GBK" w:hAnsi="方正小标宋_GBK" w:eastAsia="方正小标宋_GBK"/>
          <w:sz w:val="38"/>
          <w:lang w:val="en-US" w:eastAsia="zh-CN"/>
        </w:rPr>
        <w:t>塔城地区</w:t>
      </w:r>
      <w:r>
        <w:rPr>
          <w:rFonts w:hint="eastAsia" w:ascii="方正小标宋_GBK" w:hAnsi="方正小标宋_GBK" w:eastAsia="方正小标宋_GBK"/>
          <w:sz w:val="38"/>
        </w:rPr>
        <w:t>生态环境局</w:t>
      </w:r>
    </w:p>
    <w:p>
      <w:pPr>
        <w:keepNext w:val="0"/>
        <w:keepLines w:val="0"/>
        <w:pageBreakBefore w:val="0"/>
        <w:widowControl w:val="0"/>
        <w:kinsoku/>
        <w:wordWrap/>
        <w:overflowPunct/>
        <w:topLinePunct w:val="0"/>
        <w:autoSpaceDE/>
        <w:autoSpaceDN/>
        <w:bidi w:val="0"/>
        <w:adjustRightInd/>
        <w:snapToGrid/>
        <w:spacing w:before="210" w:line="212" w:lineRule="auto"/>
        <w:ind w:left="2511" w:leftChars="724" w:right="1155" w:rightChars="550" w:hanging="991" w:hangingChars="261"/>
        <w:jc w:val="center"/>
        <w:textAlignment w:val="auto"/>
        <w:rPr>
          <w:rFonts w:ascii="方正小标宋_GBK"/>
          <w:sz w:val="9"/>
        </w:rPr>
      </w:pPr>
      <w:r>
        <w:rPr>
          <w:rFonts w:hint="eastAsia" w:ascii="方正小标宋_GBK" w:hAnsi="方正小标宋_GBK" w:eastAsia="方正小标宋_GBK"/>
          <w:sz w:val="38"/>
        </w:rPr>
        <w:t>行政处罚决定书</w:t>
      </w:r>
    </w:p>
    <w:p>
      <w:pPr>
        <w:tabs>
          <w:tab w:val="left" w:pos="4051"/>
          <w:tab w:val="left" w:pos="5650"/>
          <w:tab w:val="left" w:pos="6291"/>
        </w:tabs>
        <w:spacing w:before="66"/>
        <w:ind w:left="2932" w:right="0" w:firstLine="0"/>
        <w:jc w:val="left"/>
        <w:rPr>
          <w:rFonts w:hint="eastAsia" w:ascii="楷体_GB2312" w:eastAsia="楷体_GB2312"/>
          <w:sz w:val="32"/>
        </w:rPr>
      </w:pPr>
      <w:r>
        <w:rPr>
          <w:rFonts w:ascii="Times New Roman" w:eastAsia="Times New Roman"/>
          <w:w w:val="100"/>
          <w:sz w:val="32"/>
          <w:u w:val="single"/>
        </w:rPr>
        <w:t xml:space="preserve"> </w:t>
      </w:r>
      <w:bookmarkStart w:id="1" w:name="OLE_LINK2"/>
      <w:r>
        <w:rPr>
          <w:rFonts w:hint="eastAsia" w:ascii="Times New Roman" w:eastAsia="宋体"/>
          <w:w w:val="100"/>
          <w:sz w:val="32"/>
          <w:u w:val="single"/>
          <w:lang w:val="en-US" w:eastAsia="zh-CN"/>
        </w:rPr>
        <w:t xml:space="preserve">塔地环额 </w:t>
      </w:r>
      <w:r>
        <w:rPr>
          <w:rFonts w:hint="eastAsia" w:ascii="楷体_GB2312" w:eastAsia="楷体_GB2312"/>
          <w:sz w:val="32"/>
        </w:rPr>
        <w:t>罚〔</w:t>
      </w:r>
      <w:r>
        <w:rPr>
          <w:rFonts w:hint="eastAsia" w:ascii="楷体_GB2312" w:eastAsia="楷体_GB2312"/>
          <w:sz w:val="32"/>
          <w:lang w:val="en-US" w:eastAsia="zh-CN"/>
        </w:rPr>
        <w:t>2026</w:t>
      </w:r>
      <w:r>
        <w:rPr>
          <w:rFonts w:hint="eastAsia" w:ascii="楷体_GB2312" w:eastAsia="楷体_GB2312"/>
          <w:sz w:val="32"/>
        </w:rPr>
        <w:t>〕</w:t>
      </w:r>
      <w:r>
        <w:rPr>
          <w:rFonts w:hint="eastAsia" w:ascii="楷体_GB2312" w:eastAsia="楷体_GB2312"/>
          <w:sz w:val="32"/>
          <w:u w:val="single"/>
        </w:rPr>
        <w:t xml:space="preserve"> </w:t>
      </w:r>
      <w:r>
        <w:rPr>
          <w:rFonts w:hint="eastAsia" w:ascii="楷体_GB2312" w:eastAsia="楷体_GB2312"/>
          <w:sz w:val="32"/>
          <w:u w:val="single"/>
          <w:lang w:val="en-US" w:eastAsia="zh-CN"/>
        </w:rPr>
        <w:t>4</w:t>
      </w:r>
      <w:r>
        <w:rPr>
          <w:rFonts w:hint="eastAsia" w:ascii="楷体_GB2312" w:eastAsia="楷体_GB2312"/>
          <w:sz w:val="32"/>
        </w:rPr>
        <w:t>号</w:t>
      </w:r>
      <w:bookmarkEnd w:id="1"/>
    </w:p>
    <w:p>
      <w:pPr>
        <w:pStyle w:val="3"/>
        <w:rPr>
          <w:rFonts w:ascii="楷体_GB2312"/>
          <w:sz w:val="34"/>
        </w:rPr>
      </w:pPr>
    </w:p>
    <w:p>
      <w:pPr>
        <w:pStyle w:val="3"/>
        <w:keepNext w:val="0"/>
        <w:keepLines w:val="0"/>
        <w:pageBreakBefore w:val="0"/>
        <w:widowControl w:val="0"/>
        <w:tabs>
          <w:tab w:val="left" w:pos="2898"/>
          <w:tab w:val="left" w:pos="3648"/>
          <w:tab w:val="left" w:pos="4398"/>
          <w:tab w:val="left" w:pos="9195"/>
        </w:tabs>
        <w:kinsoku/>
        <w:wordWrap w:val="0"/>
        <w:overflowPunct/>
        <w:topLinePunct w:val="0"/>
        <w:autoSpaceDE/>
        <w:autoSpaceDN/>
        <w:bidi w:val="0"/>
        <w:adjustRightInd/>
        <w:snapToGrid/>
        <w:spacing w:before="274" w:line="365" w:lineRule="auto"/>
        <w:ind w:left="351" w:leftChars="0" w:right="788" w:rightChars="0" w:firstLine="0" w:firstLineChars="0"/>
        <w:jc w:val="both"/>
        <w:textAlignment w:val="auto"/>
      </w:pPr>
      <w:r>
        <w:t>当事人名称/姓名：</w:t>
      </w:r>
      <w:r>
        <w:rPr>
          <w:rFonts w:ascii="Times New Roman" w:eastAsia="Times New Roman"/>
          <w:u w:val="single"/>
        </w:rPr>
        <w:t xml:space="preserve"> </w:t>
      </w:r>
      <w:r>
        <w:rPr>
          <w:rFonts w:hint="eastAsia" w:ascii="Times New Roman" w:eastAsia="Times New Roman"/>
          <w:u w:val="single"/>
        </w:rPr>
        <w:t>新疆库鲁斯台牧业有限公</w:t>
      </w:r>
      <w:bookmarkStart w:id="2" w:name="_GoBack"/>
      <w:bookmarkEnd w:id="2"/>
      <w:r>
        <w:rPr>
          <w:rFonts w:hint="eastAsia" w:ascii="Times New Roman" w:eastAsia="Times New Roman"/>
          <w:u w:val="single"/>
        </w:rPr>
        <w:t>司</w:t>
      </w:r>
      <w:r>
        <w:rPr>
          <w:rFonts w:hint="eastAsia" w:ascii="Times New Roman" w:eastAsia="宋体"/>
          <w:u w:val="single"/>
          <w:lang w:val="en-US" w:eastAsia="zh-CN"/>
        </w:rPr>
        <w:t xml:space="preserve">                 </w:t>
      </w:r>
      <w:r>
        <w:t>法定代表人：</w:t>
      </w:r>
      <w:r>
        <w:rPr>
          <w:rFonts w:ascii="Times New Roman" w:eastAsia="Times New Roman"/>
          <w:u w:val="single"/>
        </w:rPr>
        <w:t xml:space="preserve"> </w:t>
      </w:r>
      <w:r>
        <w:rPr>
          <w:rFonts w:hint="eastAsia" w:ascii="Times New Roman" w:eastAsia="Times New Roman" w:cs="仿宋_GB2312"/>
          <w:kern w:val="0"/>
          <w:sz w:val="30"/>
          <w:szCs w:val="30"/>
          <w:u w:val="single"/>
          <w:lang w:val="en-US" w:eastAsia="zh-CN" w:bidi="ar-SA"/>
        </w:rPr>
        <w:t xml:space="preserve">谭卫江                                       </w:t>
      </w:r>
      <w:r>
        <w:t>统一社会信用代码：</w:t>
      </w:r>
      <w:r>
        <w:rPr>
          <w:rFonts w:ascii="Times New Roman" w:eastAsia="Times New Roman"/>
          <w:u w:val="single"/>
        </w:rPr>
        <w:t xml:space="preserve"> </w:t>
      </w:r>
      <w:r>
        <w:rPr>
          <w:rFonts w:hint="eastAsia" w:ascii="Times New Roman" w:eastAsia="Times New Roman"/>
          <w:u w:val="single"/>
        </w:rPr>
        <w:t>916542217452135378</w:t>
      </w:r>
      <w:r>
        <w:rPr>
          <w:rFonts w:hint="eastAsia" w:ascii="Times New Roman" w:eastAsia="宋体"/>
          <w:u w:val="single"/>
          <w:lang w:val="en-US" w:eastAsia="zh-CN"/>
        </w:rPr>
        <w:t xml:space="preserve">                     </w:t>
      </w:r>
      <w:r>
        <w:t>地址：</w:t>
      </w:r>
      <w:r>
        <w:rPr>
          <w:rFonts w:ascii="Times New Roman" w:eastAsia="Times New Roman"/>
          <w:u w:val="single"/>
        </w:rPr>
        <w:t xml:space="preserve"> </w:t>
      </w:r>
      <w:r>
        <w:rPr>
          <w:rFonts w:hint="eastAsia" w:ascii="Times New Roman" w:eastAsia="Times New Roman"/>
          <w:u w:val="single"/>
        </w:rPr>
        <w:t>新疆塔城地区额敏县额乌路（冷库院内）</w:t>
      </w:r>
      <w:r>
        <w:rPr>
          <w:rFonts w:hint="eastAsia" w:ascii="Times New Roman" w:eastAsia="宋体"/>
          <w:u w:val="single"/>
          <w:lang w:val="en-US" w:eastAsia="zh-CN"/>
        </w:rPr>
        <w:t xml:space="preserve">            </w:t>
      </w:r>
      <w:r>
        <w:rPr>
          <w:rFonts w:hint="eastAsia"/>
          <w:lang w:val="en-US" w:eastAsia="zh-CN"/>
        </w:rPr>
        <w:t xml:space="preserve">        我局于</w:t>
      </w:r>
      <w:r>
        <w:rPr>
          <w:rFonts w:hint="eastAsia" w:ascii="仿宋_GB2312" w:hAnsi="宋体" w:eastAsia="仿宋_GB2312"/>
          <w:color w:val="auto"/>
          <w:sz w:val="30"/>
          <w:szCs w:val="30"/>
          <w:u w:val="single"/>
          <w:lang w:val="en-US" w:eastAsia="zh-CN"/>
        </w:rPr>
        <w:t>2026</w:t>
      </w:r>
      <w:r>
        <w:rPr>
          <w:rFonts w:hint="eastAsia" w:ascii="仿宋_GB2312" w:hAnsi="宋体" w:eastAsia="仿宋_GB2312"/>
          <w:color w:val="auto"/>
          <w:sz w:val="30"/>
          <w:szCs w:val="30"/>
        </w:rPr>
        <w:t>年</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u w:val="single"/>
          <w:lang w:val="en-US" w:eastAsia="zh-CN"/>
        </w:rPr>
        <w:t>4</w:t>
      </w:r>
      <w:r>
        <w:rPr>
          <w:rFonts w:hint="eastAsia" w:ascii="仿宋_GB2312" w:hAnsi="宋体" w:eastAsia="仿宋_GB2312"/>
          <w:color w:val="auto"/>
          <w:sz w:val="30"/>
          <w:szCs w:val="30"/>
        </w:rPr>
        <w:t>月</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u w:val="single"/>
          <w:lang w:val="en-US" w:eastAsia="zh-CN"/>
        </w:rPr>
        <w:t>3</w:t>
      </w:r>
      <w:r>
        <w:rPr>
          <w:rFonts w:hint="eastAsia" w:ascii="仿宋_GB2312" w:hAnsi="宋体" w:eastAsia="仿宋_GB2312"/>
          <w:color w:val="auto"/>
          <w:sz w:val="30"/>
          <w:szCs w:val="30"/>
          <w:u w:val="single"/>
        </w:rPr>
        <w:t xml:space="preserve"> </w:t>
      </w:r>
      <w:r>
        <w:rPr>
          <w:rFonts w:hint="eastAsia" w:ascii="仿宋_GB2312" w:hAnsi="宋体" w:eastAsia="仿宋_GB2312"/>
          <w:color w:val="auto"/>
          <w:sz w:val="30"/>
          <w:szCs w:val="30"/>
        </w:rPr>
        <w:t>日</w:t>
      </w:r>
      <w:r>
        <w:rPr>
          <w:rFonts w:hint="eastAsia"/>
          <w:lang w:val="en-US" w:eastAsia="zh-CN"/>
        </w:rPr>
        <w:t>对你单位进行了调查，发现你单位实施了以下生态环境违法行为：</w:t>
      </w:r>
    </w:p>
    <w:p>
      <w:pPr>
        <w:pStyle w:val="3"/>
        <w:keepNext w:val="0"/>
        <w:keepLines w:val="0"/>
        <w:pageBreakBefore w:val="0"/>
        <w:widowControl w:val="0"/>
        <w:kinsoku/>
        <w:wordWrap/>
        <w:overflowPunct/>
        <w:topLinePunct w:val="0"/>
        <w:autoSpaceDE/>
        <w:autoSpaceDN/>
        <w:bidi w:val="0"/>
        <w:adjustRightInd/>
        <w:snapToGrid/>
        <w:spacing w:line="372" w:lineRule="auto"/>
        <w:ind w:left="351" w:leftChars="0" w:right="641" w:firstLine="600" w:firstLineChars="200"/>
        <w:textAlignment w:val="auto"/>
        <w:rPr>
          <w:rFonts w:hint="default" w:eastAsia="仿宋_GB2312"/>
          <w:lang w:val="en-US" w:eastAsia="zh-CN"/>
        </w:rPr>
      </w:pPr>
      <w:r>
        <w:rPr>
          <w:rFonts w:hint="eastAsia"/>
          <w:u w:val="single"/>
        </w:rPr>
        <w:t>2026年3月18日、2026年4月3日，我分局执法人员杨树明（执法证号：31130015022）、余有文（执法证号：31130015024）依法对你单位进行现场检查。由你单位综合部主任陪同，额敏县生态环境监测站对废水总排口规范采样。经检测，2026年3月18日取水样的检测报告显示（化学需氧量1440㎎/L、总氮240㎎/L、总磷10.8㎎/L、氨氮150㎎/L、五日生化需氧量405㎎/L），2026年4月3日取水样的检测报告显示（化学需氧量1600㎎/L、总氮99.7㎎/L、总磷11.2㎎/L、氨氮93.4㎎/L、五日生化需氧量501㎎/L），你单位排放废水中5项水污染物因子浓度(化学需氧量、总氮、总磷、氨氮、五日生化需氧量)均超过《屠宰及肉类加工工业水污染物排放标准》（GB 13457-2025）的排放限值（化学需氧量500㎎/L、总氮70㎎/L、总磷8㎎/L、氨氮45㎎/L、五日生化需氧量350㎎/L），存在涉嫌超标排放水污染物的环境违法行为。</w:t>
      </w:r>
      <w:r>
        <w:rPr>
          <w:rFonts w:hint="eastAsia"/>
          <w:u w:val="single"/>
          <w:lang w:val="en-US" w:eastAsia="zh-CN"/>
        </w:rPr>
        <w:t xml:space="preserve">                 </w:t>
      </w:r>
    </w:p>
    <w:p>
      <w:pPr>
        <w:pStyle w:val="3"/>
        <w:keepNext w:val="0"/>
        <w:keepLines w:val="0"/>
        <w:pageBreakBefore w:val="0"/>
        <w:widowControl w:val="0"/>
        <w:kinsoku/>
        <w:wordWrap/>
        <w:overflowPunct/>
        <w:topLinePunct w:val="0"/>
        <w:autoSpaceDE/>
        <w:autoSpaceDN/>
        <w:bidi w:val="0"/>
        <w:spacing w:line="383" w:lineRule="exact"/>
        <w:ind w:right="641" w:firstLine="900" w:firstLineChars="300"/>
        <w:textAlignment w:val="auto"/>
      </w:pPr>
      <w:r>
        <w:t>以上事实，有以下主要证据证明：</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证据1：2026年3月18日、2026年4月3日现场检查（勘察）笔录两份（2026年3月18日、2026年4月3日 新疆库鲁斯台牧业有限公司 何志强），用于证实污水采样的合法性、真实性；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证据2：塔城地区生态环境局行政执法人员杨树明、邢志远，于2026年3月18日制作的现场勘察平面图，用于证实环境违法行为的真实性；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证据3：塔城地区生态环境局行政执法人员杨树明、余有文，于2026年4月3日制作的现场勘察平面图，用于证实环境违法行为的真实性；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证据4：2026年6月11日由法人授权委托人（何志强)提供的法人授权委托书、法人身份证复印件、法人授权委托人（何志强）身份证复印件，用于证实代理人在其授权的范围内所为的行为由法人承担法律后果；</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证据5：2026年6月11日由法人授权委托人（何志强)提供的朱文兵身份证复印件，用于证实调查询问笔录（朱文兵）具有法律效力；</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证据6：2026年6月11日由法人授权委托人（何志强)提供的违法主体营业执照、用于证实违法行为主体的身份；</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证据7：现场照片证据以及2026年6月11日由法人授权委托人（何志强)提供的新疆库鲁斯台牧业有限公司屠宰场牛羊登记表，用于证实企业正常经营生产，证实违法行为的真实性；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证据8：2026年6月11日调查询问笔录一份（2026年6月11日 新疆库鲁斯台牧业有限公司 何志强），用于证实该企业超过水污染物排放标准排放水污染物的违法行为的事实；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证据9：2026年6月11日调查询问笔录一份（2026年6月11日 新疆库鲁斯台牧业有限公司 朱文兵），用于证实该企业超过水污染物排放标准排放水污染物的违法行为的事实；</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10：额敏县生态环境监测站王淑萍、陆文娟的水质采样证以及水质采样原始记录表（2026年3月18日、2026年4月3日），用于证明采样人员采样程序合法合规，具备水质采样资质，证明本次水样采集、封存、送检全过程符合规范要求，监测样品来源真实、有效、可追溯，监测检测结果的合法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证据11：塔城地区生态环境监测站资质，用于证明该监测机构具备合法有效的环境监测资质能力，监测人员、仪器设备、检测方法均符合国家规范要求，其出具水质检测报告的合法性及真实性；</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证据12：2026年6月11日由法人授权委托人（何志强)提供的新疆库鲁斯台牧业有限公司排污许可证正本，用于证明新疆库鲁斯台牧业有限公司具备合法排污资质，系法定排污主体，排污许可处于有效状态；</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证据13：《屠宰及肉类加工工业水污染物排放标准》（GB 13457-2025），系屠宰及肉类加工行业水污染物排放管控的法定标准依据，用于证明界定新疆库鲁斯台牧业有限公司废水排放各污染物因子法定排放限值，系判定其2026年3月18日、2026年4月3日出水水污染物（化学需氧量、五日生化需氧量、氨氮、总氮、总磷）浓度超标排放违法行为的法定依据；</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14：由塔城地区生态环境局额敏县分局监测人员王淑萍、陆文娟于2026年3月18日，在新疆库鲁斯台牧业有限公司废水总排口现场采集水样，经塔城地区生态环境监测站检测，于2026年4月29日出具的检测报告（塔地环监字TSHJ-2026-JD-12），用于证实该公司外排废水污染物因子浓度超过法定排放标准且超标200%以上，存在超标排放水污染物的环境违法行为；</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15：由塔城地区生态环境局额敏县分局监测人员王淑萍、陆文娟于2026年4月3日，在新疆库鲁斯台牧业有限公司废水总排口现场采集水样，经塔城地区生态环境监测站检测，于2026年4月16日出具的检测报告（塔地环监字TSHJ-2026-JD-07），用于证实该公司外排废水污染物因子浓度超过法定排放标准且超标200%以上，存在超标排放水污染物的环境违法行为；</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16：2026年5月11日由塔城地区生态环境局额敏县分局执法人员对新疆库鲁斯台牧业有限公司送达的塔城地区生态环境局检测结果告知书【塔地环额检告（2026）1号】，用于证实用于证实本次环境检测采样、检测程序合法，检测数据客观真实，同时证明已依法将检测结果书面告知当事人；</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17：2026年5月11日由塔城地区生态环境局额敏县分局执法人员对新疆库鲁斯台牧业有限公司送达的塔城地区生态环境局检测结果告知书【塔地环额检告（2026）2号】，用于证实本次环境检测采样、检测程序合法，检测数据客观真实，同时证明已依法将检测结果书面告知当事人；</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证据18：国家统计局发布的统计上大中小微型企业划分办法（2017），用于证实新疆库鲁斯台牧业有限公司的企业规模；</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证据19：2026年6月24日由法人授权委托人（何志强)提供的新疆库鲁斯台牧业有限公司工资单证实公司职工人数，用于证实新疆库鲁斯台牧业有限公司属于微型企业；</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20：2026年6月24日由法人授权委托人（何志强)提供的新疆库鲁斯台牧业有限公司污水水质整改报告、出水自行检测报告、污水站设备维保巡检记录台账、污泥处置台账、加药台账，用于证实新疆库鲁斯台牧业有限公司完成整改；</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ascii="仿宋_GB2312" w:hAnsi="宋体" w:eastAsia="仿宋_GB2312" w:cs="Times New Roman"/>
          <w:sz w:val="30"/>
          <w:szCs w:val="30"/>
          <w:u w:val="single"/>
          <w:lang w:val="en-US" w:eastAsia="zh-CN"/>
        </w:rPr>
      </w:pPr>
      <w:r>
        <w:rPr>
          <w:rFonts w:hint="eastAsia" w:ascii="仿宋_GB2312" w:hAnsi="宋体" w:eastAsia="仿宋_GB2312" w:cs="Times New Roman"/>
          <w:sz w:val="30"/>
          <w:szCs w:val="30"/>
          <w:u w:val="single"/>
          <w:lang w:val="en-US" w:eastAsia="zh-CN"/>
        </w:rPr>
        <w:t>证据21：2026年7月23日由法人授权委托人（何志强)提供的新疆库鲁斯台牧业有限公司污水水质超标减轻行政处罚的申请书、借款情况、资产负债表、利润表，用于证实新疆库鲁斯台牧业有限公司存在经营亏损、负债过高、现金流断裂的经济困难情形。</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pPr>
      <w:r>
        <w:t>你单位的上述行为违反了</w:t>
      </w:r>
      <w:r>
        <w:rPr>
          <w:rFonts w:hint="eastAsia"/>
          <w:u w:val="single"/>
        </w:rPr>
        <w:t>《中华人民共和国水污染防治法》第十条“排放水污染物，不得超过国家或者地方规定的水污染物排放标准和重点水污染物排放总量控制指标”</w:t>
      </w:r>
      <w:r>
        <w:t>的规定。</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default" w:eastAsia="仿宋_GB2312"/>
          <w:u w:val="single"/>
          <w:lang w:val="en-US" w:eastAsia="zh-CN"/>
        </w:rPr>
      </w:pPr>
      <w:r>
        <w:rPr>
          <w:rFonts w:hint="eastAsia"/>
          <w:u w:val="single"/>
        </w:rPr>
        <w:t>我局</w:t>
      </w:r>
      <w:r>
        <w:rPr>
          <w:rFonts w:hint="eastAsia"/>
          <w:u w:val="single"/>
          <w:lang w:val="en-US" w:eastAsia="zh-CN"/>
        </w:rPr>
        <w:t>于2026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18</w:t>
      </w:r>
      <w:r>
        <w:rPr>
          <w:rFonts w:hint="eastAsia"/>
          <w:u w:val="single"/>
        </w:rPr>
        <w:t>日以《行政处罚事先告知书》（</w:t>
      </w:r>
      <w:r>
        <w:rPr>
          <w:rFonts w:hint="eastAsia"/>
          <w:u w:val="single"/>
          <w:lang w:val="en-US" w:eastAsia="zh-CN"/>
        </w:rPr>
        <w:t>塔地</w:t>
      </w:r>
      <w:r>
        <w:rPr>
          <w:rFonts w:hint="eastAsia"/>
          <w:u w:val="single"/>
        </w:rPr>
        <w:t>环</w:t>
      </w:r>
      <w:r>
        <w:rPr>
          <w:rFonts w:hint="eastAsia"/>
          <w:u w:val="single"/>
          <w:lang w:val="en-US" w:eastAsia="zh-CN"/>
        </w:rPr>
        <w:t>额</w:t>
      </w:r>
      <w:r>
        <w:rPr>
          <w:rFonts w:hint="eastAsia"/>
          <w:u w:val="single"/>
        </w:rPr>
        <w:t>罚告〔</w:t>
      </w:r>
      <w:r>
        <w:rPr>
          <w:rFonts w:hint="eastAsia"/>
          <w:u w:val="single"/>
          <w:lang w:val="en-US" w:eastAsia="zh-CN"/>
        </w:rPr>
        <w:t>2026</w:t>
      </w:r>
      <w:r>
        <w:rPr>
          <w:rFonts w:hint="eastAsia"/>
          <w:u w:val="single"/>
        </w:rPr>
        <w:t>〕</w:t>
      </w:r>
      <w:r>
        <w:rPr>
          <w:rFonts w:hint="eastAsia"/>
          <w:u w:val="single"/>
          <w:lang w:val="en-US" w:eastAsia="zh-CN"/>
        </w:rPr>
        <w:t>4</w:t>
      </w:r>
      <w:r>
        <w:rPr>
          <w:rFonts w:hint="eastAsia"/>
          <w:u w:val="single"/>
        </w:rPr>
        <w:t>号）告知你单位陈述申辩权（听证权）。</w:t>
      </w:r>
      <w:r>
        <w:rPr>
          <w:rFonts w:hint="eastAsia"/>
          <w:u w:val="single"/>
          <w:lang w:val="en-US" w:eastAsia="zh-CN"/>
        </w:rPr>
        <w:t>你单位法定期限内，未申请听证也未提出陈述申辩。</w:t>
      </w:r>
    </w:p>
    <w:p>
      <w:pPr>
        <w:pStyle w:val="3"/>
        <w:keepNext w:val="0"/>
        <w:keepLines w:val="0"/>
        <w:pageBreakBefore w:val="0"/>
        <w:widowControl w:val="0"/>
        <w:kinsoku/>
        <w:wordWrap/>
        <w:overflowPunct/>
        <w:topLinePunct w:val="0"/>
        <w:autoSpaceDE/>
        <w:autoSpaceDN/>
        <w:bidi w:val="0"/>
        <w:spacing w:line="372" w:lineRule="auto"/>
        <w:ind w:left="351" w:leftChars="0" w:right="641" w:firstLine="555" w:firstLineChars="185"/>
        <w:textAlignment w:val="auto"/>
        <w:rPr>
          <w:rFonts w:hint="eastAsia"/>
          <w:u w:val="single"/>
        </w:rPr>
      </w:pPr>
      <w:r>
        <w:rPr>
          <w:rFonts w:hint="eastAsia" w:ascii="仿宋" w:hAnsi="仿宋" w:eastAsia="仿宋" w:cs="仿宋"/>
          <w:sz w:val="30"/>
          <w:szCs w:val="30"/>
        </w:rPr>
        <w:t>依据</w:t>
      </w:r>
      <w:r>
        <w:rPr>
          <w:rFonts w:hint="eastAsia" w:ascii="仿宋_GB2312" w:hAnsi="宋体" w:eastAsia="仿宋_GB2312" w:cs="Times New Roman"/>
          <w:sz w:val="30"/>
          <w:szCs w:val="30"/>
          <w:u w:val="single"/>
        </w:rPr>
        <w:t>《中华人民共和国水污染防治法》第八十三条第二项“违反本法规定，有下列行为之一的，由县级以上人民政府环境保护主管部门责令改正或者责令限制生产、停产整治，并处十万元以上一百万元以下的罚款；情节严重的，报经有批准权的人民政府批准，责令停业、关闭：(二)超过水污染物排放标准或者超过重点水污染物排放总量控制指标排放水污染物的”</w:t>
      </w:r>
      <w:r>
        <w:rPr>
          <w:rFonts w:hint="eastAsia" w:ascii="仿宋_GB2312" w:hAnsi="宋体" w:eastAsia="仿宋_GB2312"/>
          <w:sz w:val="30"/>
          <w:szCs w:val="30"/>
          <w:u w:val="none"/>
        </w:rPr>
        <w:t>的</w:t>
      </w:r>
      <w:r>
        <w:rPr>
          <w:rFonts w:hint="eastAsia" w:ascii="仿宋" w:hAnsi="仿宋" w:eastAsia="仿宋" w:cs="仿宋"/>
          <w:sz w:val="30"/>
          <w:szCs w:val="30"/>
        </w:rPr>
        <w:t>规定</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根据</w:t>
      </w:r>
      <w:r>
        <w:rPr>
          <w:rFonts w:hint="eastAsia" w:ascii="仿宋" w:hAnsi="仿宋" w:eastAsia="仿宋" w:cs="仿宋"/>
          <w:sz w:val="30"/>
          <w:szCs w:val="30"/>
          <w:u w:val="single"/>
          <w:lang w:val="en-US" w:eastAsia="zh-CN"/>
        </w:rPr>
        <w:t>《新疆维吾尔自治区 新疆生产建设兵团生态环境部门规范适用行政处罚裁量权实施办法》，在新疆维吾尔自治区生态环境处罚案件办理系统“裁量计算器”中针对违法行为输入以下裁量因子：1、个性裁量基准：（超标因子：3个及以上）、（排污超标状况：超标200%以上/ph≤2或12.5≤ph）、（废水类别：一般工业废水、医疗废水、畜禽养殖废水）。2、修正裁量基准：改正态度：立即改正。补救措施：采取补救措施，环境影响无法完全消除。经济承受度(企业类型）：微型企业。地区差异：四类地区裁量标准。裁量认定：情节特别严重，罚款，处罚款人民币陆拾万肆仟元整（604000元整），责令限期改正。根据《新疆维吾尔自治区新疆生产建设兵团生态环境部门规范适用行政处罚裁量权实施办法》的规定：“第九条【应当从轻或减轻行政处罚】，有下列情形之一的，应当依法从轻或者减轻行政处罚：(一)主动消除或者减轻生态环境违法行为危害后果的；（三）生态环境违法行为所致环境污染轻微、生态破坏程度较小的；各级生态环境部门通过“裁量计算器”对上述从轻情形进行裁量后，可以统筹考虑当地实际以及其它违法行为情节及后果，经集体审议研究决定下浮10%-30%执行，但处罚金额不得超过法定处罚金额下限。适用减轻情形的，应当采取审慎的原则，依据充分并经集体审议研究决定。”在“裁量计算器”计算出裁量金额人民币604000元整的基础上下浮30%（按照计算为422800元整）。依据相关法律条款，违法行为罚款的下限为10万元，该金额未超过法定处罚金额下限，符合法律规定。</w:t>
      </w:r>
    </w:p>
    <w:p>
      <w:pPr>
        <w:pStyle w:val="3"/>
        <w:keepNext w:val="0"/>
        <w:keepLines w:val="0"/>
        <w:pageBreakBefore w:val="0"/>
        <w:widowControl w:val="0"/>
        <w:kinsoku/>
        <w:wordWrap/>
        <w:overflowPunct/>
        <w:topLinePunct w:val="0"/>
        <w:autoSpaceDE/>
        <w:autoSpaceDN/>
        <w:bidi w:val="0"/>
        <w:adjustRightInd/>
        <w:snapToGrid/>
        <w:spacing w:line="372" w:lineRule="auto"/>
        <w:ind w:left="351" w:leftChars="0" w:right="641" w:firstLine="555" w:firstLineChars="185"/>
        <w:textAlignment w:val="auto"/>
        <w:rPr>
          <w:rFonts w:hint="eastAsia" w:ascii="仿宋_GB2312" w:hAnsi="仿宋_GB2312" w:eastAsia="仿宋_GB2312" w:cs="仿宋_GB2312"/>
          <w:kern w:val="2"/>
          <w:sz w:val="30"/>
          <w:szCs w:val="30"/>
          <w:u w:val="single"/>
          <w:lang w:val="en-US" w:eastAsia="zh-CN" w:bidi="ar-SA"/>
        </w:rPr>
      </w:pPr>
      <w:r>
        <w:t>我局决定对你单位处以下行政处罚：</w:t>
      </w:r>
      <w:r>
        <w:rPr>
          <w:rFonts w:hint="eastAsia" w:ascii="仿宋" w:hAnsi="仿宋" w:eastAsia="仿宋" w:cs="仿宋"/>
          <w:sz w:val="30"/>
          <w:szCs w:val="30"/>
          <w:u w:val="single"/>
          <w:lang w:val="en-US" w:eastAsia="zh-CN"/>
        </w:rPr>
        <w:t>针对你单位超过水污染物排放标准排放水污染物的行为处罚款人民币422800元整（肆拾贰万贰仟捌佰元整）。</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pPr>
      <w:r>
        <w:rPr>
          <w:spacing w:val="5"/>
        </w:rPr>
        <w:t>限于接到本处罚决定之日起十五日内到指定的银行或者通过电</w:t>
      </w:r>
      <w:r>
        <w:rPr>
          <w:spacing w:val="-8"/>
        </w:rPr>
        <w:t>子支付系统缴纳罚款。逾期不缴纳罚款的，我</w:t>
      </w:r>
      <w:r>
        <w:t>局</w:t>
      </w:r>
      <w:r>
        <w:rPr>
          <w:spacing w:val="-6"/>
        </w:rPr>
        <w:t>可以根据《中</w:t>
      </w:r>
      <w:r>
        <w:rPr>
          <w:spacing w:val="5"/>
        </w:rPr>
        <w:t>华人民共和国行政处罚法》第七十二条第一款第一项规定每日按罚</w:t>
      </w:r>
      <w:r>
        <w:t>款数额的百分之三加处罚款。</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收款银行：</w:t>
      </w:r>
      <w:r>
        <w:rPr>
          <w:rFonts w:hint="eastAsia"/>
          <w:u w:val="single"/>
          <w:lang w:val="en-US" w:eastAsia="zh-CN"/>
        </w:rPr>
        <w:t xml:space="preserve">中国农业银行塔城市文化路支行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户名：</w:t>
      </w:r>
      <w:r>
        <w:rPr>
          <w:rFonts w:hint="eastAsia"/>
          <w:u w:val="single"/>
          <w:lang w:val="en-US" w:eastAsia="zh-CN"/>
        </w:rPr>
        <w:t xml:space="preserve">伊犁哈萨克自治州塔城地区财政局国库科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u w:val="single"/>
          <w:lang w:val="en-US" w:eastAsia="zh-CN"/>
        </w:rPr>
      </w:pPr>
      <w:r>
        <w:rPr>
          <w:rFonts w:hint="eastAsia"/>
          <w:lang w:val="en-US" w:eastAsia="zh-CN"/>
        </w:rPr>
        <w:t>账号：</w:t>
      </w:r>
      <w:r>
        <w:rPr>
          <w:rFonts w:hint="eastAsia"/>
          <w:u w:val="single"/>
          <w:lang w:val="en-US" w:eastAsia="zh-CN"/>
        </w:rPr>
        <w:t xml:space="preserve">30190201040000634                                      </w:t>
      </w:r>
    </w:p>
    <w:p>
      <w:pPr>
        <w:pStyle w:val="3"/>
        <w:keepNext w:val="0"/>
        <w:keepLines w:val="0"/>
        <w:pageBreakBefore w:val="0"/>
        <w:widowControl w:val="0"/>
        <w:kinsoku/>
        <w:wordWrap/>
        <w:overflowPunct/>
        <w:topLinePunct w:val="0"/>
        <w:autoSpaceDE/>
        <w:autoSpaceDN/>
        <w:bidi w:val="0"/>
        <w:adjustRightInd/>
        <w:snapToGrid/>
        <w:spacing w:line="365" w:lineRule="auto"/>
        <w:ind w:left="351" w:right="641" w:firstLine="601"/>
        <w:jc w:val="both"/>
        <w:textAlignment w:val="auto"/>
        <w:rPr>
          <w:rFonts w:hint="default"/>
          <w:lang w:val="en-US" w:eastAsia="zh-CN"/>
        </w:rPr>
      </w:pPr>
      <w:r>
        <w:rPr>
          <w:rFonts w:hint="eastAsia"/>
          <w:lang w:val="en-US" w:eastAsia="zh-CN"/>
        </w:rPr>
        <w:t>缴纳罚款时请在备注栏写：</w:t>
      </w:r>
      <w:r>
        <w:rPr>
          <w:rFonts w:hint="eastAsia"/>
          <w:u w:val="single"/>
          <w:lang w:val="en-US" w:eastAsia="zh-CN"/>
        </w:rPr>
        <w:t>塔城地区生态环境局额敏县分局罚没款。</w:t>
      </w:r>
    </w:p>
    <w:p>
      <w:pPr>
        <w:pStyle w:val="3"/>
        <w:keepNext w:val="0"/>
        <w:keepLines w:val="0"/>
        <w:pageBreakBefore w:val="0"/>
        <w:widowControl w:val="0"/>
        <w:kinsoku/>
        <w:wordWrap/>
        <w:overflowPunct/>
        <w:topLinePunct w:val="0"/>
        <w:autoSpaceDE/>
        <w:autoSpaceDN/>
        <w:bidi w:val="0"/>
        <w:adjustRightInd/>
        <w:snapToGrid/>
        <w:spacing w:line="364" w:lineRule="auto"/>
        <w:ind w:left="351" w:right="641" w:firstLine="600" w:firstLineChars="200"/>
        <w:textAlignment w:val="auto"/>
      </w:pPr>
      <w:r>
        <w:t>你单位如不服本处罚决定，可在收到本处罚决定书之日起六十日内向</w:t>
      </w:r>
      <w:r>
        <w:rPr>
          <w:rFonts w:hint="eastAsia"/>
          <w:u w:val="single"/>
          <w:lang w:val="en-US" w:eastAsia="zh-CN"/>
        </w:rPr>
        <w:t>塔城地区行政公署</w:t>
      </w:r>
      <w:r>
        <w:t>申请行政复议，也可以在六个月内向</w:t>
      </w:r>
      <w:r>
        <w:rPr>
          <w:rFonts w:hint="eastAsia"/>
          <w:u w:val="single"/>
          <w:lang w:val="en-US" w:eastAsia="zh-CN"/>
        </w:rPr>
        <w:t>乌鲁木齐铁路运输</w:t>
      </w:r>
      <w:r>
        <w:rPr>
          <w:u w:val="single"/>
        </w:rPr>
        <w:t>法院</w:t>
      </w:r>
      <w:r>
        <w:t>提起行政诉讼。申请行政复议或者提起行政诉讼，不停止行政处罚决定的执行。</w:t>
      </w:r>
    </w:p>
    <w:p>
      <w:pPr>
        <w:pStyle w:val="3"/>
        <w:keepNext w:val="0"/>
        <w:keepLines w:val="0"/>
        <w:pageBreakBefore w:val="0"/>
        <w:widowControl w:val="0"/>
        <w:kinsoku/>
        <w:wordWrap/>
        <w:overflowPunct/>
        <w:topLinePunct w:val="0"/>
        <w:autoSpaceDE/>
        <w:autoSpaceDN/>
        <w:bidi w:val="0"/>
        <w:adjustRightInd/>
        <w:snapToGrid/>
        <w:spacing w:line="364" w:lineRule="auto"/>
        <w:ind w:left="351" w:right="641" w:firstLine="600" w:firstLineChars="200"/>
        <w:textAlignment w:val="auto"/>
      </w:pPr>
      <w:r>
        <w:t>逾期不申请行政复议，不提起行政诉讼，又不履行本处罚决定的，我局将依法申请人民法院强制执行。</w:t>
      </w:r>
    </w:p>
    <w:p>
      <w:pPr>
        <w:adjustRightInd w:val="0"/>
        <w:snapToGrid w:val="0"/>
        <w:spacing w:line="360" w:lineRule="auto"/>
        <w:jc w:val="right"/>
        <w:rPr>
          <w:rFonts w:hint="eastAsia" w:ascii="仿宋_GB2312" w:hAnsi="宋体" w:eastAsia="仿宋_GB2312"/>
          <w:b/>
          <w:sz w:val="30"/>
          <w:szCs w:val="30"/>
        </w:rPr>
      </w:pPr>
    </w:p>
    <w:p>
      <w:pPr>
        <w:adjustRightInd w:val="0"/>
        <w:snapToGrid w:val="0"/>
        <w:spacing w:line="360" w:lineRule="auto"/>
        <w:jc w:val="right"/>
        <w:rPr>
          <w:rFonts w:hint="eastAsia" w:ascii="仿宋_GB2312" w:hAnsi="宋体" w:eastAsia="仿宋_GB2312"/>
          <w:b/>
          <w:sz w:val="30"/>
          <w:szCs w:val="30"/>
        </w:rPr>
      </w:pPr>
      <w:r>
        <w:rPr>
          <w:rFonts w:hint="eastAsia" w:ascii="仿宋_GB2312" w:hAnsi="宋体" w:eastAsia="仿宋_GB2312"/>
          <w:b/>
          <w:sz w:val="30"/>
          <w:szCs w:val="30"/>
        </w:rPr>
        <w:t xml:space="preserve">                            </w:t>
      </w:r>
    </w:p>
    <w:p>
      <w:pPr>
        <w:adjustRightInd w:val="0"/>
        <w:snapToGrid w:val="0"/>
        <w:spacing w:line="360" w:lineRule="auto"/>
        <w:ind w:firstLine="4819" w:firstLineChars="1600"/>
        <w:jc w:val="both"/>
        <w:rPr>
          <w:rFonts w:hint="eastAsia" w:ascii="仿宋_GB2312" w:hAnsi="宋体" w:eastAsia="仿宋_GB2312"/>
          <w:bCs/>
          <w:sz w:val="30"/>
          <w:szCs w:val="30"/>
        </w:rPr>
      </w:pPr>
      <w:r>
        <w:rPr>
          <w:rFonts w:hint="eastAsia" w:ascii="仿宋_GB2312" w:hAnsi="宋体" w:eastAsia="仿宋_GB2312"/>
          <w:b/>
          <w:sz w:val="30"/>
          <w:szCs w:val="30"/>
        </w:rPr>
        <w:t xml:space="preserve"> </w:t>
      </w:r>
      <w:r>
        <w:rPr>
          <w:rFonts w:hint="eastAsia" w:ascii="仿宋_GB2312" w:hAnsi="宋体" w:eastAsia="仿宋_GB2312"/>
          <w:bCs/>
          <w:sz w:val="30"/>
          <w:szCs w:val="30"/>
          <w:lang w:val="en-US" w:eastAsia="zh-CN"/>
        </w:rPr>
        <w:t>塔城地区</w:t>
      </w:r>
      <w:r>
        <w:rPr>
          <w:rFonts w:hint="eastAsia" w:ascii="仿宋_GB2312" w:hAnsi="宋体" w:eastAsia="仿宋_GB2312"/>
          <w:bCs/>
          <w:sz w:val="30"/>
          <w:szCs w:val="30"/>
        </w:rPr>
        <w:t>生态环境局（印章）</w:t>
      </w:r>
    </w:p>
    <w:p>
      <w:r>
        <w:rPr>
          <w:rFonts w:hint="eastAsia" w:ascii="仿宋_GB2312" w:hAnsi="宋体" w:eastAsia="仿宋_GB2312"/>
          <w:sz w:val="30"/>
          <w:szCs w:val="30"/>
        </w:rPr>
        <w:t xml:space="preserve">                                      年  月  日</w:t>
      </w:r>
      <w:bookmarkEnd w:id="0"/>
    </w:p>
    <w:sectPr>
      <w:pgSz w:w="11906" w:h="16838"/>
      <w:pgMar w:top="1599" w:right="743" w:bottom="144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04EA3"/>
    <w:rsid w:val="03C5328B"/>
    <w:rsid w:val="064C0FFA"/>
    <w:rsid w:val="0658181F"/>
    <w:rsid w:val="0680683B"/>
    <w:rsid w:val="0776276A"/>
    <w:rsid w:val="08204893"/>
    <w:rsid w:val="0856564E"/>
    <w:rsid w:val="08EE4992"/>
    <w:rsid w:val="09BB74E9"/>
    <w:rsid w:val="0A5E4142"/>
    <w:rsid w:val="0AE20644"/>
    <w:rsid w:val="0B550B0F"/>
    <w:rsid w:val="0B8E7D66"/>
    <w:rsid w:val="0BB7176D"/>
    <w:rsid w:val="0BF41F06"/>
    <w:rsid w:val="0C6E3759"/>
    <w:rsid w:val="0D030681"/>
    <w:rsid w:val="0D4002A7"/>
    <w:rsid w:val="0D8D4779"/>
    <w:rsid w:val="0DE0138C"/>
    <w:rsid w:val="0E1D44C0"/>
    <w:rsid w:val="0E354C55"/>
    <w:rsid w:val="0F157098"/>
    <w:rsid w:val="0FA80580"/>
    <w:rsid w:val="0FD03043"/>
    <w:rsid w:val="110B4996"/>
    <w:rsid w:val="11265F68"/>
    <w:rsid w:val="114F1320"/>
    <w:rsid w:val="114F703B"/>
    <w:rsid w:val="121D1A98"/>
    <w:rsid w:val="12477B58"/>
    <w:rsid w:val="13E850BC"/>
    <w:rsid w:val="13F2252B"/>
    <w:rsid w:val="15B17864"/>
    <w:rsid w:val="16264708"/>
    <w:rsid w:val="175E7186"/>
    <w:rsid w:val="17782D5C"/>
    <w:rsid w:val="1964413C"/>
    <w:rsid w:val="196F7429"/>
    <w:rsid w:val="197E65D9"/>
    <w:rsid w:val="1A255CCC"/>
    <w:rsid w:val="1A346C1E"/>
    <w:rsid w:val="1A3A7A37"/>
    <w:rsid w:val="1AB64489"/>
    <w:rsid w:val="1ADD6614"/>
    <w:rsid w:val="1B360127"/>
    <w:rsid w:val="1E3D1F8F"/>
    <w:rsid w:val="1E860D4B"/>
    <w:rsid w:val="1F8567B4"/>
    <w:rsid w:val="1FD57ADC"/>
    <w:rsid w:val="20C938C2"/>
    <w:rsid w:val="224C47AB"/>
    <w:rsid w:val="229B16C7"/>
    <w:rsid w:val="240B0F93"/>
    <w:rsid w:val="24937387"/>
    <w:rsid w:val="249D04FE"/>
    <w:rsid w:val="25187BB4"/>
    <w:rsid w:val="25311A36"/>
    <w:rsid w:val="267B565F"/>
    <w:rsid w:val="27277649"/>
    <w:rsid w:val="273F255F"/>
    <w:rsid w:val="279135A5"/>
    <w:rsid w:val="28137B19"/>
    <w:rsid w:val="285F5AEA"/>
    <w:rsid w:val="2A7630B7"/>
    <w:rsid w:val="2A933C0B"/>
    <w:rsid w:val="2ECF3F70"/>
    <w:rsid w:val="2F1750CC"/>
    <w:rsid w:val="2F6916BD"/>
    <w:rsid w:val="2F775E8C"/>
    <w:rsid w:val="301C571D"/>
    <w:rsid w:val="30DA4C36"/>
    <w:rsid w:val="312968A9"/>
    <w:rsid w:val="32A4518F"/>
    <w:rsid w:val="32C51A10"/>
    <w:rsid w:val="33277499"/>
    <w:rsid w:val="34545741"/>
    <w:rsid w:val="345715D9"/>
    <w:rsid w:val="35A15467"/>
    <w:rsid w:val="35D775AB"/>
    <w:rsid w:val="35E825E5"/>
    <w:rsid w:val="36203B2D"/>
    <w:rsid w:val="37943E0C"/>
    <w:rsid w:val="37CC1165"/>
    <w:rsid w:val="38043ABB"/>
    <w:rsid w:val="3B135A0E"/>
    <w:rsid w:val="3B1D47A5"/>
    <w:rsid w:val="3BDC6DDE"/>
    <w:rsid w:val="3C7E15AD"/>
    <w:rsid w:val="3CBE5E4E"/>
    <w:rsid w:val="3DE9514C"/>
    <w:rsid w:val="413D2055"/>
    <w:rsid w:val="413D6DCF"/>
    <w:rsid w:val="433B1E2A"/>
    <w:rsid w:val="44BF1CC9"/>
    <w:rsid w:val="451553B3"/>
    <w:rsid w:val="46144678"/>
    <w:rsid w:val="479F062A"/>
    <w:rsid w:val="48F7710F"/>
    <w:rsid w:val="49F446CD"/>
    <w:rsid w:val="4A053998"/>
    <w:rsid w:val="4AF33166"/>
    <w:rsid w:val="4B46598C"/>
    <w:rsid w:val="4C0A4C0B"/>
    <w:rsid w:val="4CB0659C"/>
    <w:rsid w:val="4D8E361A"/>
    <w:rsid w:val="4D974380"/>
    <w:rsid w:val="4E21623C"/>
    <w:rsid w:val="4E24470E"/>
    <w:rsid w:val="5079410E"/>
    <w:rsid w:val="508D5E0B"/>
    <w:rsid w:val="50924FD9"/>
    <w:rsid w:val="509C4EC7"/>
    <w:rsid w:val="50D76C9A"/>
    <w:rsid w:val="527A416D"/>
    <w:rsid w:val="52E71802"/>
    <w:rsid w:val="52E9540A"/>
    <w:rsid w:val="53007443"/>
    <w:rsid w:val="541B7F5F"/>
    <w:rsid w:val="546E01B9"/>
    <w:rsid w:val="548E39E5"/>
    <w:rsid w:val="54DD5F3E"/>
    <w:rsid w:val="55D537CD"/>
    <w:rsid w:val="561B7A15"/>
    <w:rsid w:val="566E3FE9"/>
    <w:rsid w:val="568B3077"/>
    <w:rsid w:val="56981066"/>
    <w:rsid w:val="571C0482"/>
    <w:rsid w:val="5744628F"/>
    <w:rsid w:val="57757D1E"/>
    <w:rsid w:val="58601CE7"/>
    <w:rsid w:val="59127D64"/>
    <w:rsid w:val="5A3A6A35"/>
    <w:rsid w:val="5B08233D"/>
    <w:rsid w:val="5B55716B"/>
    <w:rsid w:val="5BF7509C"/>
    <w:rsid w:val="5CA91105"/>
    <w:rsid w:val="5F6B42B4"/>
    <w:rsid w:val="5FAC75E2"/>
    <w:rsid w:val="5FCC2AA9"/>
    <w:rsid w:val="60AC408B"/>
    <w:rsid w:val="612F352D"/>
    <w:rsid w:val="61C6117D"/>
    <w:rsid w:val="622F7B53"/>
    <w:rsid w:val="634A7AE7"/>
    <w:rsid w:val="63CE60C7"/>
    <w:rsid w:val="64850E7B"/>
    <w:rsid w:val="64D77620"/>
    <w:rsid w:val="65916789"/>
    <w:rsid w:val="66B45A48"/>
    <w:rsid w:val="67A7752D"/>
    <w:rsid w:val="68E50428"/>
    <w:rsid w:val="691722BE"/>
    <w:rsid w:val="6CD25B27"/>
    <w:rsid w:val="6CF6770E"/>
    <w:rsid w:val="6E3044BF"/>
    <w:rsid w:val="6EA502BE"/>
    <w:rsid w:val="6FB46AB9"/>
    <w:rsid w:val="70D56CE6"/>
    <w:rsid w:val="70EA4A25"/>
    <w:rsid w:val="71D25292"/>
    <w:rsid w:val="725956F5"/>
    <w:rsid w:val="746E7D9F"/>
    <w:rsid w:val="76686E90"/>
    <w:rsid w:val="77346781"/>
    <w:rsid w:val="777368EB"/>
    <w:rsid w:val="781F4AE1"/>
    <w:rsid w:val="79175D08"/>
    <w:rsid w:val="791A3E30"/>
    <w:rsid w:val="7A0643B5"/>
    <w:rsid w:val="7AB81A37"/>
    <w:rsid w:val="7C181B0B"/>
    <w:rsid w:val="7CB94DEA"/>
    <w:rsid w:val="7CF65E57"/>
    <w:rsid w:val="7CF72961"/>
    <w:rsid w:val="7D3656D4"/>
    <w:rsid w:val="7D8E6B9B"/>
    <w:rsid w:val="7F8F1EB3"/>
    <w:rsid w:val="7FBB6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able of authorities"/>
    <w:basedOn w:val="1"/>
    <w:next w:val="1"/>
    <w:qFormat/>
    <w:uiPriority w:val="0"/>
    <w:pPr>
      <w:spacing w:line="240" w:lineRule="auto"/>
      <w:ind w:left="0" w:leftChars="0" w:firstLine="0" w:firstLineChars="0"/>
      <w:jc w:val="left"/>
    </w:pPr>
    <w:rPr>
      <w:rFonts w:ascii="仿宋" w:hAnsi="仿宋" w:eastAsia="仿宋" w:cs="仿宋"/>
      <w:sz w:val="18"/>
      <w:szCs w:val="18"/>
    </w:rPr>
  </w:style>
  <w:style w:type="paragraph" w:styleId="3">
    <w:name w:val="Body Text"/>
    <w:basedOn w:val="1"/>
    <w:qFormat/>
    <w:uiPriority w:val="1"/>
    <w:rPr>
      <w:rFonts w:ascii="仿宋_GB2312" w:hAnsi="仿宋_GB2312" w:eastAsia="仿宋_GB2312" w:cs="仿宋_GB2312"/>
      <w:sz w:val="30"/>
      <w:szCs w:val="30"/>
    </w:rPr>
  </w:style>
  <w:style w:type="paragraph" w:styleId="6">
    <w:name w:val="List Paragraph"/>
    <w:basedOn w:val="1"/>
    <w:qFormat/>
    <w:uiPriority w:val="1"/>
    <w:pPr>
      <w:spacing w:before="180"/>
      <w:ind w:left="1530" w:hanging="591"/>
    </w:pPr>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4601</Words>
  <Characters>4930</Characters>
  <Lines>0</Lines>
  <Paragraphs>0</Paragraphs>
  <TotalTime>1</TotalTime>
  <ScaleCrop>false</ScaleCrop>
  <LinksUpToDate>false</LinksUpToDate>
  <CharactersWithSpaces>5207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Administrator</cp:lastModifiedBy>
  <dcterms:modified xsi:type="dcterms:W3CDTF">2026-09-04T04:12:45Z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eyJoZGlkIjoiODhjN2I3OGFhNzBkZDc0YWUwMjZkNTZmYjIxNzc3NWYiLCJ1c2VySWQiOiIxNzQ3MDI1OTEwIn0=</vt:lpwstr>
  </property>
  <property fmtid="{D5CDD505-2E9C-101B-9397-08002B2CF9AE}" pid="4" name="ICV">
    <vt:lpwstr>E7297DF331D6432694BD719DB08847B1_12</vt:lpwstr>
  </property>
</Properties>
</file>