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3B2A53">
      <w:pPr>
        <w:widowControl/>
        <w:jc w:val="center"/>
        <w:rPr>
          <w:rFonts w:hint="default" w:ascii="华文中宋" w:hAnsi="华文中宋" w:eastAsia="华文中宋" w:cs="华文中宋"/>
          <w:kern w:val="0"/>
          <w:sz w:val="36"/>
          <w:szCs w:val="36"/>
          <w:lang w:val="en-US" w:eastAsia="zh-CN"/>
        </w:rPr>
      </w:pPr>
      <w:bookmarkStart w:id="0" w:name="OLE_LINK2"/>
      <w:bookmarkStart w:id="1" w:name="OLE_LINK1"/>
      <w:bookmarkStart w:id="2" w:name="OLE_LINK4"/>
      <w:r>
        <w:rPr>
          <w:rFonts w:hint="eastAsia" w:ascii="华文中宋" w:hAnsi="华文中宋" w:eastAsia="华文中宋" w:cs="华文中宋"/>
          <w:b/>
          <w:bCs/>
          <w:kern w:val="0"/>
          <w:sz w:val="36"/>
          <w:szCs w:val="36"/>
        </w:rPr>
        <w:t>额敏县</w:t>
      </w:r>
      <w:r>
        <w:rPr>
          <w:rFonts w:hint="eastAsia" w:ascii="华文中宋" w:hAnsi="华文中宋" w:eastAsia="华文中宋" w:cs="华文中宋"/>
          <w:b/>
          <w:bCs/>
          <w:kern w:val="0"/>
          <w:sz w:val="36"/>
          <w:szCs w:val="36"/>
          <w:lang w:val="en-US" w:eastAsia="zh-CN"/>
        </w:rPr>
        <w:t>交通运输</w:t>
      </w:r>
      <w:r>
        <w:rPr>
          <w:rFonts w:hint="eastAsia" w:ascii="华文中宋" w:hAnsi="华文中宋" w:eastAsia="华文中宋" w:cs="华文中宋"/>
          <w:b/>
          <w:bCs/>
          <w:kern w:val="0"/>
          <w:sz w:val="36"/>
          <w:szCs w:val="36"/>
        </w:rPr>
        <w:t>局行政处罚案件公示</w:t>
      </w:r>
      <w:r>
        <w:rPr>
          <w:rFonts w:hint="eastAsia" w:ascii="华文中宋" w:hAnsi="华文中宋" w:eastAsia="华文中宋" w:cs="华文中宋"/>
          <w:b/>
          <w:bCs/>
          <w:kern w:val="0"/>
          <w:sz w:val="36"/>
          <w:szCs w:val="36"/>
          <w:lang w:eastAsia="zh-CN"/>
        </w:rPr>
        <w:t>【</w:t>
      </w:r>
      <w:r>
        <w:rPr>
          <w:rFonts w:hint="eastAsia" w:ascii="华文中宋" w:hAnsi="华文中宋" w:eastAsia="华文中宋" w:cs="华文中宋"/>
          <w:b/>
          <w:bCs/>
          <w:kern w:val="0"/>
          <w:sz w:val="36"/>
          <w:szCs w:val="36"/>
          <w:lang w:val="en-US" w:eastAsia="zh-CN"/>
        </w:rPr>
        <w:t>20</w:t>
      </w:r>
      <w:bookmarkStart w:id="4" w:name="_GoBack"/>
      <w:bookmarkEnd w:id="4"/>
      <w:r>
        <w:rPr>
          <w:rFonts w:hint="eastAsia" w:ascii="华文中宋" w:hAnsi="华文中宋" w:eastAsia="华文中宋" w:cs="华文中宋"/>
          <w:b/>
          <w:bCs/>
          <w:kern w:val="0"/>
          <w:sz w:val="36"/>
          <w:szCs w:val="36"/>
          <w:lang w:val="en-US" w:eastAsia="zh-CN"/>
        </w:rPr>
        <w:t>26</w:t>
      </w:r>
      <w:r>
        <w:rPr>
          <w:rFonts w:hint="eastAsia" w:ascii="华文中宋" w:hAnsi="华文中宋" w:eastAsia="华文中宋" w:cs="华文中宋"/>
          <w:b/>
          <w:bCs/>
          <w:kern w:val="0"/>
          <w:sz w:val="36"/>
          <w:szCs w:val="36"/>
          <w:lang w:eastAsia="zh-CN"/>
        </w:rPr>
        <w:t>】</w:t>
      </w:r>
      <w:r>
        <w:rPr>
          <w:rFonts w:hint="eastAsia" w:ascii="华文中宋" w:hAnsi="华文中宋" w:eastAsia="华文中宋" w:cs="华文中宋"/>
          <w:b/>
          <w:bCs/>
          <w:kern w:val="0"/>
          <w:sz w:val="36"/>
          <w:szCs w:val="36"/>
          <w:lang w:val="en-US" w:eastAsia="zh-CN"/>
        </w:rPr>
        <w:t>29号</w:t>
      </w:r>
    </w:p>
    <w:bookmarkEnd w:id="0"/>
    <w:p w14:paraId="54449EF5">
      <w:pPr>
        <w:widowControl/>
        <w:jc w:val="center"/>
        <w:rPr>
          <w:rFonts w:hint="default" w:ascii="方正小标宋简体" w:hAnsi="宋体" w:eastAsia="宋体" w:cs="宋体"/>
          <w:kern w:val="0"/>
          <w:sz w:val="32"/>
          <w:szCs w:val="32"/>
          <w:lang w:val="en-US" w:eastAsia="zh-CN"/>
        </w:rPr>
      </w:pPr>
      <w:r>
        <w:rPr>
          <w:rFonts w:hint="eastAsia" w:ascii="宋体" w:hAnsi="宋体" w:cs="宋体"/>
          <w:b/>
          <w:bCs/>
          <w:kern w:val="0"/>
          <w:sz w:val="32"/>
          <w:szCs w:val="32"/>
          <w:lang w:val="en-US" w:eastAsia="zh-CN"/>
        </w:rPr>
        <w:t>2026年9</w:t>
      </w:r>
      <w:r>
        <w:rPr>
          <w:rFonts w:hint="eastAsia" w:ascii="宋体" w:hAnsi="宋体" w:cs="宋体"/>
          <w:b/>
          <w:bCs/>
          <w:kern w:val="0"/>
          <w:sz w:val="32"/>
          <w:szCs w:val="32"/>
        </w:rPr>
        <w:t>月</w:t>
      </w:r>
      <w:r>
        <w:rPr>
          <w:rFonts w:hint="eastAsia" w:ascii="宋体" w:hAnsi="宋体" w:cs="宋体"/>
          <w:b/>
          <w:bCs/>
          <w:kern w:val="0"/>
          <w:sz w:val="32"/>
          <w:szCs w:val="32"/>
          <w:lang w:val="en-US" w:eastAsia="zh-CN"/>
        </w:rPr>
        <w:t>12日至2026年9月17日</w:t>
      </w:r>
    </w:p>
    <w:p w14:paraId="667F5E43">
      <w:pPr>
        <w:widowControl/>
        <w:ind w:right="960"/>
        <w:rPr>
          <w:rFonts w:hint="default" w:ascii="宋体" w:hAnsi="宋体" w:eastAsia="宋体" w:cs="宋体"/>
          <w:kern w:val="0"/>
          <w:sz w:val="28"/>
          <w:szCs w:val="28"/>
          <w:lang w:val="en-US" w:eastAsia="zh-CN"/>
        </w:rPr>
      </w:pPr>
      <w:r>
        <w:rPr>
          <w:rFonts w:ascii="宋体" w:hAnsi="宋体" w:cs="宋体"/>
          <w:kern w:val="0"/>
          <w:sz w:val="28"/>
          <w:szCs w:val="28"/>
        </w:rPr>
        <w:t>填报单位：</w:t>
      </w:r>
      <w:bookmarkStart w:id="3" w:name="OLE_LINK3"/>
      <w:r>
        <w:rPr>
          <w:rFonts w:hint="eastAsia" w:ascii="宋体" w:hAnsi="宋体" w:cs="宋体"/>
          <w:kern w:val="0"/>
          <w:sz w:val="28"/>
          <w:szCs w:val="28"/>
        </w:rPr>
        <w:t>额</w:t>
      </w:r>
      <w:r>
        <w:rPr>
          <w:rFonts w:ascii="宋体" w:hAnsi="宋体" w:cs="宋体"/>
          <w:kern w:val="0"/>
          <w:sz w:val="28"/>
          <w:szCs w:val="28"/>
        </w:rPr>
        <w:t>敏县</w:t>
      </w:r>
      <w:r>
        <w:rPr>
          <w:rFonts w:hint="eastAsia" w:ascii="宋体" w:hAnsi="宋体" w:cs="宋体"/>
          <w:kern w:val="0"/>
          <w:sz w:val="28"/>
          <w:szCs w:val="28"/>
          <w:lang w:val="en-US" w:eastAsia="zh-CN"/>
        </w:rPr>
        <w:t>交通运输局</w:t>
      </w:r>
      <w:bookmarkEnd w:id="3"/>
      <w:r>
        <w:rPr>
          <w:rFonts w:hint="eastAsia" w:ascii="宋体" w:hAnsi="宋体" w:cs="宋体"/>
          <w:kern w:val="0"/>
          <w:sz w:val="28"/>
          <w:szCs w:val="28"/>
        </w:rPr>
        <w:t xml:space="preserve">                </w:t>
      </w:r>
      <w:r>
        <w:rPr>
          <w:rFonts w:hint="eastAsia" w:ascii="宋体" w:hAnsi="宋体" w:cs="宋体"/>
          <w:kern w:val="0"/>
          <w:sz w:val="28"/>
          <w:szCs w:val="28"/>
          <w:lang w:val="en-US" w:eastAsia="zh-CN"/>
        </w:rPr>
        <w:t xml:space="preserve">                       </w:t>
      </w:r>
      <w:r>
        <w:rPr>
          <w:rFonts w:ascii="宋体" w:hAnsi="宋体" w:cs="宋体"/>
          <w:kern w:val="0"/>
          <w:sz w:val="28"/>
          <w:szCs w:val="28"/>
        </w:rPr>
        <w:t>填报日期：</w:t>
      </w:r>
      <w:r>
        <w:rPr>
          <w:rFonts w:hint="eastAsia" w:ascii="宋体" w:hAnsi="宋体" w:cs="宋体"/>
          <w:kern w:val="0"/>
          <w:sz w:val="28"/>
          <w:szCs w:val="28"/>
          <w:lang w:val="en-US" w:eastAsia="zh-CN"/>
        </w:rPr>
        <w:t>2026年9月20日</w:t>
      </w:r>
    </w:p>
    <w:tbl>
      <w:tblPr>
        <w:tblStyle w:val="2"/>
        <w:tblW w:w="13890" w:type="dxa"/>
        <w:tblCellSpacing w:w="0" w:type="dxa"/>
        <w:tblInd w:w="0" w:type="dxa"/>
        <w:tblBorders>
          <w:top w:val="none" w:color="auto" w:sz="0" w:space="0"/>
          <w:left w:val="outset" w:color="auto" w:sz="6" w:space="0"/>
          <w:bottom w:val="outset" w:color="auto" w:sz="6" w:space="0"/>
          <w:right w:val="outset" w:color="auto" w:sz="6" w:space="0"/>
          <w:insideH w:val="none" w:color="auto" w:sz="0" w:space="0"/>
          <w:insideV w:val="outset" w:color="auto" w:sz="6" w:space="0"/>
        </w:tblBorders>
        <w:tblLayout w:type="fixed"/>
        <w:tblCellMar>
          <w:top w:w="0" w:type="dxa"/>
          <w:left w:w="0" w:type="dxa"/>
          <w:bottom w:w="0" w:type="dxa"/>
          <w:right w:w="0" w:type="dxa"/>
        </w:tblCellMar>
      </w:tblPr>
      <w:tblGrid>
        <w:gridCol w:w="899"/>
        <w:gridCol w:w="491"/>
        <w:gridCol w:w="1299"/>
        <w:gridCol w:w="2482"/>
        <w:gridCol w:w="3488"/>
        <w:gridCol w:w="945"/>
        <w:gridCol w:w="1245"/>
        <w:gridCol w:w="3041"/>
      </w:tblGrid>
      <w:tr w14:paraId="4721B0F9">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CellMar>
            <w:top w:w="0" w:type="dxa"/>
            <w:left w:w="0" w:type="dxa"/>
            <w:bottom w:w="0" w:type="dxa"/>
            <w:right w:w="0" w:type="dxa"/>
          </w:tblCellMar>
        </w:tblPrEx>
        <w:trPr>
          <w:cantSplit/>
          <w:trHeight w:val="936" w:hRule="atLeast"/>
          <w:tblCellSpacing w:w="0" w:type="dxa"/>
        </w:trPr>
        <w:tc>
          <w:tcPr>
            <w:tcW w:w="899" w:type="dxa"/>
            <w:tcBorders>
              <w:top w:val="outset" w:color="auto" w:sz="6" w:space="0"/>
              <w:bottom w:val="outset" w:color="auto" w:sz="6" w:space="0"/>
            </w:tcBorders>
            <w:noWrap w:val="0"/>
            <w:vAlign w:val="center"/>
          </w:tcPr>
          <w:p w14:paraId="36F00DA2">
            <w:pPr>
              <w:widowControl/>
              <w:jc w:val="center"/>
              <w:rPr>
                <w:rFonts w:ascii="宋体" w:hAnsi="宋体" w:cs="宋体"/>
                <w:kern w:val="0"/>
                <w:sz w:val="24"/>
                <w:szCs w:val="24"/>
              </w:rPr>
            </w:pPr>
            <w:r>
              <w:rPr>
                <w:rFonts w:hint="eastAsia" w:ascii="宋体" w:hAnsi="宋体" w:cs="宋体"/>
                <w:kern w:val="0"/>
                <w:sz w:val="24"/>
                <w:szCs w:val="24"/>
              </w:rPr>
              <w:t>处罚案件总数（个）</w:t>
            </w:r>
          </w:p>
        </w:tc>
        <w:tc>
          <w:tcPr>
            <w:tcW w:w="491" w:type="dxa"/>
            <w:tcBorders>
              <w:top w:val="outset" w:color="auto" w:sz="6" w:space="0"/>
              <w:bottom w:val="outset" w:color="auto" w:sz="6" w:space="0"/>
            </w:tcBorders>
            <w:noWrap w:val="0"/>
            <w:vAlign w:val="center"/>
          </w:tcPr>
          <w:p w14:paraId="4B0BD05F">
            <w:pPr>
              <w:widowControl/>
              <w:jc w:val="center"/>
              <w:rPr>
                <w:rFonts w:ascii="宋体" w:hAnsi="宋体" w:cs="宋体"/>
                <w:kern w:val="0"/>
                <w:sz w:val="24"/>
                <w:szCs w:val="24"/>
              </w:rPr>
            </w:pPr>
            <w:r>
              <w:rPr>
                <w:rFonts w:hint="eastAsia" w:ascii="宋体" w:hAnsi="宋体" w:cs="宋体"/>
                <w:kern w:val="0"/>
                <w:sz w:val="24"/>
                <w:szCs w:val="24"/>
              </w:rPr>
              <w:t>序号</w:t>
            </w:r>
          </w:p>
        </w:tc>
        <w:tc>
          <w:tcPr>
            <w:tcW w:w="1299" w:type="dxa"/>
            <w:tcBorders>
              <w:top w:val="outset" w:color="auto" w:sz="6" w:space="0"/>
              <w:bottom w:val="outset" w:color="auto" w:sz="6" w:space="0"/>
            </w:tcBorders>
            <w:noWrap w:val="0"/>
            <w:vAlign w:val="center"/>
          </w:tcPr>
          <w:p w14:paraId="6648FF69">
            <w:pPr>
              <w:widowControl/>
              <w:jc w:val="center"/>
              <w:rPr>
                <w:rFonts w:ascii="宋体" w:hAnsi="宋体" w:cs="宋体"/>
                <w:kern w:val="0"/>
                <w:sz w:val="24"/>
                <w:szCs w:val="24"/>
              </w:rPr>
            </w:pPr>
            <w:r>
              <w:rPr>
                <w:rFonts w:hint="eastAsia" w:ascii="宋体" w:hAnsi="宋体" w:cs="宋体"/>
                <w:kern w:val="0"/>
                <w:sz w:val="24"/>
                <w:szCs w:val="24"/>
              </w:rPr>
              <w:t>处罚时间</w:t>
            </w:r>
          </w:p>
        </w:tc>
        <w:tc>
          <w:tcPr>
            <w:tcW w:w="2482" w:type="dxa"/>
            <w:tcBorders>
              <w:top w:val="outset" w:color="auto" w:sz="6" w:space="0"/>
              <w:bottom w:val="outset" w:color="auto" w:sz="6" w:space="0"/>
            </w:tcBorders>
            <w:noWrap w:val="0"/>
            <w:vAlign w:val="center"/>
          </w:tcPr>
          <w:p w14:paraId="5771A6C9">
            <w:pPr>
              <w:widowControl/>
              <w:jc w:val="center"/>
              <w:rPr>
                <w:rFonts w:ascii="宋体" w:hAnsi="宋体" w:cs="宋体"/>
                <w:kern w:val="0"/>
                <w:sz w:val="24"/>
                <w:szCs w:val="24"/>
              </w:rPr>
            </w:pPr>
            <w:r>
              <w:rPr>
                <w:rFonts w:hint="eastAsia" w:ascii="宋体" w:hAnsi="宋体" w:cs="宋体"/>
                <w:kern w:val="0"/>
                <w:sz w:val="24"/>
                <w:szCs w:val="24"/>
              </w:rPr>
              <w:t>车属单位</w:t>
            </w:r>
          </w:p>
        </w:tc>
        <w:tc>
          <w:tcPr>
            <w:tcW w:w="3488" w:type="dxa"/>
            <w:tcBorders>
              <w:top w:val="outset" w:color="auto" w:sz="6" w:space="0"/>
              <w:bottom w:val="outset" w:color="auto" w:sz="6" w:space="0"/>
            </w:tcBorders>
            <w:noWrap w:val="0"/>
            <w:vAlign w:val="center"/>
          </w:tcPr>
          <w:p w14:paraId="66A4BE8F">
            <w:pPr>
              <w:widowControl/>
              <w:jc w:val="center"/>
              <w:rPr>
                <w:rFonts w:ascii="宋体" w:hAnsi="宋体" w:cs="宋体"/>
                <w:kern w:val="0"/>
                <w:sz w:val="24"/>
                <w:szCs w:val="24"/>
              </w:rPr>
            </w:pPr>
            <w:r>
              <w:rPr>
                <w:rFonts w:hint="eastAsia" w:ascii="宋体" w:hAnsi="宋体" w:cs="宋体"/>
                <w:kern w:val="0"/>
                <w:sz w:val="24"/>
                <w:szCs w:val="24"/>
              </w:rPr>
              <w:t>违法事由</w:t>
            </w:r>
          </w:p>
        </w:tc>
        <w:tc>
          <w:tcPr>
            <w:tcW w:w="945" w:type="dxa"/>
            <w:tcBorders>
              <w:top w:val="outset" w:color="auto" w:sz="6" w:space="0"/>
              <w:bottom w:val="outset" w:color="auto" w:sz="6" w:space="0"/>
            </w:tcBorders>
            <w:noWrap w:val="0"/>
            <w:vAlign w:val="center"/>
          </w:tcPr>
          <w:p w14:paraId="5AA061EB">
            <w:pPr>
              <w:widowControl/>
              <w:jc w:val="center"/>
              <w:rPr>
                <w:rFonts w:ascii="宋体" w:hAnsi="宋体" w:cs="宋体"/>
                <w:kern w:val="0"/>
                <w:sz w:val="24"/>
                <w:szCs w:val="24"/>
              </w:rPr>
            </w:pPr>
            <w:r>
              <w:rPr>
                <w:rFonts w:hint="eastAsia" w:ascii="宋体" w:hAnsi="宋体" w:cs="宋体"/>
                <w:kern w:val="0"/>
                <w:sz w:val="24"/>
                <w:szCs w:val="24"/>
              </w:rPr>
              <w:t>是否采取强制措施</w:t>
            </w:r>
          </w:p>
        </w:tc>
        <w:tc>
          <w:tcPr>
            <w:tcW w:w="1245" w:type="dxa"/>
            <w:tcBorders>
              <w:top w:val="outset" w:color="auto" w:sz="6" w:space="0"/>
              <w:bottom w:val="outset" w:color="auto" w:sz="6" w:space="0"/>
            </w:tcBorders>
            <w:noWrap w:val="0"/>
            <w:vAlign w:val="center"/>
          </w:tcPr>
          <w:p w14:paraId="49D4CB0C">
            <w:pPr>
              <w:widowControl/>
              <w:jc w:val="center"/>
              <w:rPr>
                <w:rFonts w:hint="default" w:ascii="宋体" w:hAnsi="宋体" w:eastAsia="宋体" w:cs="宋体"/>
                <w:kern w:val="0"/>
                <w:sz w:val="24"/>
                <w:szCs w:val="24"/>
                <w:lang w:val="en-US" w:eastAsia="zh-CN"/>
              </w:rPr>
            </w:pPr>
            <w:r>
              <w:rPr>
                <w:rFonts w:hint="eastAsia" w:ascii="宋体" w:hAnsi="宋体" w:cs="宋体"/>
                <w:kern w:val="0"/>
                <w:sz w:val="24"/>
                <w:szCs w:val="24"/>
              </w:rPr>
              <w:t>处罚</w:t>
            </w:r>
            <w:r>
              <w:rPr>
                <w:rFonts w:hint="eastAsia" w:ascii="宋体" w:hAnsi="宋体" w:cs="宋体"/>
                <w:kern w:val="0"/>
                <w:sz w:val="24"/>
                <w:szCs w:val="24"/>
                <w:lang w:val="en-US" w:eastAsia="zh-CN"/>
              </w:rPr>
              <w:t>金额（元）</w:t>
            </w:r>
          </w:p>
        </w:tc>
        <w:tc>
          <w:tcPr>
            <w:tcW w:w="3041" w:type="dxa"/>
            <w:tcBorders>
              <w:top w:val="outset" w:color="auto" w:sz="6" w:space="0"/>
              <w:bottom w:val="outset" w:color="auto" w:sz="6" w:space="0"/>
            </w:tcBorders>
            <w:noWrap w:val="0"/>
            <w:vAlign w:val="center"/>
          </w:tcPr>
          <w:p w14:paraId="1FF852E9">
            <w:pPr>
              <w:widowControl/>
              <w:jc w:val="center"/>
              <w:rPr>
                <w:rFonts w:ascii="宋体" w:hAnsi="宋体" w:cs="宋体"/>
                <w:kern w:val="0"/>
                <w:sz w:val="24"/>
                <w:szCs w:val="24"/>
              </w:rPr>
            </w:pPr>
            <w:r>
              <w:rPr>
                <w:rFonts w:hint="eastAsia" w:ascii="宋体" w:hAnsi="宋体" w:cs="宋体"/>
                <w:kern w:val="0"/>
                <w:sz w:val="24"/>
                <w:szCs w:val="24"/>
              </w:rPr>
              <w:t>案号</w:t>
            </w:r>
          </w:p>
        </w:tc>
      </w:tr>
      <w:tr w14:paraId="70345C10">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CellMar>
            <w:top w:w="0" w:type="dxa"/>
            <w:left w:w="0" w:type="dxa"/>
            <w:bottom w:w="0" w:type="dxa"/>
            <w:right w:w="0" w:type="dxa"/>
          </w:tblCellMar>
        </w:tblPrEx>
        <w:trPr>
          <w:cantSplit/>
          <w:trHeight w:val="923" w:hRule="exact"/>
          <w:tblCellSpacing w:w="0" w:type="dxa"/>
        </w:trPr>
        <w:tc>
          <w:tcPr>
            <w:tcW w:w="899" w:type="dxa"/>
            <w:vMerge w:val="restart"/>
            <w:tcBorders>
              <w:top w:val="outset" w:color="auto" w:sz="6" w:space="0"/>
            </w:tcBorders>
            <w:noWrap w:val="0"/>
            <w:vAlign w:val="center"/>
          </w:tcPr>
          <w:p w14:paraId="6427FCE4">
            <w:pPr>
              <w:keepNext w:val="0"/>
              <w:keepLines w:val="0"/>
              <w:widowControl/>
              <w:suppressLineNumbers w:val="0"/>
              <w:jc w:val="center"/>
              <w:textAlignment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w:t>
            </w:r>
          </w:p>
        </w:tc>
        <w:tc>
          <w:tcPr>
            <w:tcW w:w="491" w:type="dxa"/>
            <w:tcBorders>
              <w:top w:val="outset" w:color="auto" w:sz="6" w:space="0"/>
              <w:bottom w:val="outset" w:color="auto" w:sz="6" w:space="0"/>
            </w:tcBorders>
            <w:noWrap w:val="0"/>
            <w:tcMar>
              <w:top w:w="113" w:type="dxa"/>
              <w:left w:w="0" w:type="dxa"/>
              <w:bottom w:w="113" w:type="dxa"/>
              <w:right w:w="0" w:type="dxa"/>
            </w:tcMar>
            <w:vAlign w:val="center"/>
          </w:tcPr>
          <w:p w14:paraId="3518ED9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w:t>
            </w:r>
          </w:p>
        </w:tc>
        <w:tc>
          <w:tcPr>
            <w:tcW w:w="1299"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42744F3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auto"/>
                <w:kern w:val="0"/>
                <w:sz w:val="18"/>
                <w:szCs w:val="18"/>
                <w:u w:val="none"/>
                <w:lang w:val="en-US" w:eastAsia="zh-CN" w:bidi="ar"/>
              </w:rPr>
            </w:pPr>
            <w:r>
              <w:rPr>
                <w:rFonts w:hint="eastAsia" w:asciiTheme="minorEastAsia" w:hAnsiTheme="minorEastAsia" w:eastAsiaTheme="minorEastAsia" w:cstheme="minorEastAsia"/>
                <w:i w:val="0"/>
                <w:iCs w:val="0"/>
                <w:color w:val="auto"/>
                <w:kern w:val="0"/>
                <w:sz w:val="18"/>
                <w:szCs w:val="18"/>
                <w:u w:val="none"/>
                <w:lang w:val="en-US" w:eastAsia="zh-CN" w:bidi="ar"/>
              </w:rPr>
              <w:t xml:space="preserve">2026年 9月 12日 </w:t>
            </w:r>
          </w:p>
        </w:tc>
        <w:tc>
          <w:tcPr>
            <w:tcW w:w="2482"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73606280">
            <w:pPr>
              <w:keepNext w:val="0"/>
              <w:keepLines w:val="0"/>
              <w:widowControl/>
              <w:suppressLineNumbers w:val="0"/>
              <w:jc w:val="center"/>
              <w:textAlignment w:val="bottom"/>
              <w:rPr>
                <w:rFonts w:hint="eastAsia" w:asciiTheme="minorEastAsia" w:hAnsiTheme="minorEastAsia" w:eastAsiaTheme="minorEastAsia" w:cstheme="minorEastAsia"/>
                <w:color w:val="auto"/>
                <w:kern w:val="2"/>
                <w:sz w:val="18"/>
                <w:szCs w:val="18"/>
                <w:lang w:val="en-US" w:eastAsia="zh-CN" w:bidi="ar-SA"/>
              </w:rPr>
            </w:pPr>
            <w:r>
              <w:rPr>
                <w:rFonts w:hint="eastAsia" w:asciiTheme="minorEastAsia" w:hAnsiTheme="minorEastAsia" w:eastAsiaTheme="minorEastAsia" w:cstheme="minorEastAsia"/>
                <w:i w:val="0"/>
                <w:iCs w:val="0"/>
                <w:caps w:val="0"/>
                <w:spacing w:val="0"/>
                <w:sz w:val="18"/>
                <w:szCs w:val="18"/>
                <w:shd w:val="clear" w:fill="FFFFFF"/>
              </w:rPr>
              <w:t>布尔津县海鸿客运有限公司</w:t>
            </w:r>
          </w:p>
        </w:tc>
        <w:tc>
          <w:tcPr>
            <w:tcW w:w="3488"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2A9A9930">
            <w:pPr>
              <w:keepNext w:val="0"/>
              <w:keepLines w:val="0"/>
              <w:widowControl/>
              <w:suppressLineNumbers w:val="0"/>
              <w:jc w:val="center"/>
              <w:textAlignment w:val="bottom"/>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布尔津县海鸿客运有限公司不按照批准的配客站点停靠且有过2次以上的不按照批准的配客站点停靠违法行为</w:t>
            </w:r>
          </w:p>
        </w:tc>
        <w:tc>
          <w:tcPr>
            <w:tcW w:w="9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0E3B2C95">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否</w:t>
            </w:r>
          </w:p>
        </w:tc>
        <w:tc>
          <w:tcPr>
            <w:tcW w:w="12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1BA382AE">
            <w:pPr>
              <w:keepNext w:val="0"/>
              <w:keepLines w:val="0"/>
              <w:widowControl/>
              <w:suppressLineNumbers w:val="0"/>
              <w:jc w:val="center"/>
              <w:textAlignment w:val="bottom"/>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1600</w:t>
            </w:r>
          </w:p>
        </w:tc>
        <w:tc>
          <w:tcPr>
            <w:tcW w:w="3041"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525C01AF">
            <w:pPr>
              <w:keepNext w:val="0"/>
              <w:keepLines w:val="0"/>
              <w:widowControl/>
              <w:suppressLineNumbers w:val="0"/>
              <w:jc w:val="center"/>
              <w:textAlignment w:val="bottom"/>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新塔额交执运政简〔2026〕0101号</w:t>
            </w:r>
          </w:p>
        </w:tc>
      </w:tr>
      <w:tr w14:paraId="506C4892">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CellMar>
            <w:top w:w="0" w:type="dxa"/>
            <w:left w:w="0" w:type="dxa"/>
            <w:bottom w:w="0" w:type="dxa"/>
            <w:right w:w="0" w:type="dxa"/>
          </w:tblCellMar>
        </w:tblPrEx>
        <w:trPr>
          <w:cantSplit/>
          <w:trHeight w:val="982" w:hRule="exact"/>
          <w:tblCellSpacing w:w="0" w:type="dxa"/>
        </w:trPr>
        <w:tc>
          <w:tcPr>
            <w:tcW w:w="899" w:type="dxa"/>
            <w:vMerge w:val="continue"/>
            <w:noWrap w:val="0"/>
            <w:vAlign w:val="center"/>
          </w:tcPr>
          <w:p w14:paraId="3F6D90BA">
            <w:pPr>
              <w:keepNext w:val="0"/>
              <w:keepLines w:val="0"/>
              <w:widowControl/>
              <w:suppressLineNumbers w:val="0"/>
              <w:jc w:val="center"/>
              <w:textAlignment w:val="center"/>
              <w:rPr>
                <w:rFonts w:hint="eastAsia" w:asciiTheme="minorEastAsia" w:hAnsiTheme="minorEastAsia" w:eastAsiaTheme="minorEastAsia" w:cstheme="minorEastAsia"/>
                <w:sz w:val="24"/>
                <w:szCs w:val="24"/>
                <w:lang w:val="en-US" w:eastAsia="zh-CN"/>
              </w:rPr>
            </w:pPr>
          </w:p>
        </w:tc>
        <w:tc>
          <w:tcPr>
            <w:tcW w:w="491" w:type="dxa"/>
            <w:tcBorders>
              <w:top w:val="outset" w:color="auto" w:sz="6" w:space="0"/>
              <w:bottom w:val="outset" w:color="auto" w:sz="6" w:space="0"/>
            </w:tcBorders>
            <w:noWrap w:val="0"/>
            <w:tcMar>
              <w:top w:w="113" w:type="dxa"/>
              <w:left w:w="0" w:type="dxa"/>
              <w:bottom w:w="113" w:type="dxa"/>
              <w:right w:w="0" w:type="dxa"/>
            </w:tcMar>
            <w:vAlign w:val="center"/>
          </w:tcPr>
          <w:p w14:paraId="5B797AF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w:t>
            </w:r>
          </w:p>
        </w:tc>
        <w:tc>
          <w:tcPr>
            <w:tcW w:w="1299"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275E59F2">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2026年 9月 15日</w:t>
            </w:r>
          </w:p>
        </w:tc>
        <w:tc>
          <w:tcPr>
            <w:tcW w:w="2482"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13BEFE4F">
            <w:pPr>
              <w:keepNext w:val="0"/>
              <w:keepLines w:val="0"/>
              <w:widowControl/>
              <w:suppressLineNumbers w:val="0"/>
              <w:jc w:val="center"/>
              <w:textAlignment w:val="bottom"/>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i w:val="0"/>
                <w:iCs w:val="0"/>
                <w:caps w:val="0"/>
                <w:spacing w:val="0"/>
                <w:sz w:val="18"/>
                <w:szCs w:val="18"/>
                <w:shd w:val="clear" w:fill="FFFFFF"/>
              </w:rPr>
              <w:t>额敏县辉腾商贸有限公司</w:t>
            </w:r>
          </w:p>
        </w:tc>
        <w:tc>
          <w:tcPr>
            <w:tcW w:w="3488"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5A637D24">
            <w:pPr>
              <w:keepNext w:val="0"/>
              <w:keepLines w:val="0"/>
              <w:widowControl/>
              <w:suppressLineNumbers w:val="0"/>
              <w:jc w:val="center"/>
              <w:textAlignment w:val="bottom"/>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额敏县辉腾商贸有限公司从事道路运输经营的营运车辆，未按照规定参加车辆年度审验</w:t>
            </w:r>
          </w:p>
        </w:tc>
        <w:tc>
          <w:tcPr>
            <w:tcW w:w="9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605B0EEC">
            <w:pPr>
              <w:keepNext w:val="0"/>
              <w:keepLines w:val="0"/>
              <w:pageBreakBefore w:val="0"/>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否</w:t>
            </w:r>
          </w:p>
        </w:tc>
        <w:tc>
          <w:tcPr>
            <w:tcW w:w="12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1BC039B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bottom"/>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1000</w:t>
            </w:r>
          </w:p>
        </w:tc>
        <w:tc>
          <w:tcPr>
            <w:tcW w:w="3041"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41A23BAD">
            <w:pPr>
              <w:keepNext w:val="0"/>
              <w:keepLines w:val="0"/>
              <w:widowControl/>
              <w:suppressLineNumbers w:val="0"/>
              <w:jc w:val="center"/>
              <w:textAlignment w:val="bottom"/>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新塔额交执运政简〔2026〕0102号</w:t>
            </w:r>
          </w:p>
        </w:tc>
      </w:tr>
      <w:tr w14:paraId="71AB2BD8">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CellMar>
            <w:top w:w="0" w:type="dxa"/>
            <w:left w:w="0" w:type="dxa"/>
            <w:bottom w:w="0" w:type="dxa"/>
            <w:right w:w="0" w:type="dxa"/>
          </w:tblCellMar>
        </w:tblPrEx>
        <w:trPr>
          <w:cantSplit/>
          <w:trHeight w:val="982" w:hRule="exact"/>
          <w:tblCellSpacing w:w="0" w:type="dxa"/>
        </w:trPr>
        <w:tc>
          <w:tcPr>
            <w:tcW w:w="899" w:type="dxa"/>
            <w:vMerge w:val="continue"/>
            <w:noWrap w:val="0"/>
            <w:vAlign w:val="center"/>
          </w:tcPr>
          <w:p w14:paraId="7BEA4A45">
            <w:pPr>
              <w:keepNext w:val="0"/>
              <w:keepLines w:val="0"/>
              <w:widowControl/>
              <w:suppressLineNumbers w:val="0"/>
              <w:jc w:val="center"/>
              <w:textAlignment w:val="center"/>
              <w:rPr>
                <w:rFonts w:hint="eastAsia" w:asciiTheme="minorEastAsia" w:hAnsiTheme="minorEastAsia" w:eastAsiaTheme="minorEastAsia" w:cstheme="minorEastAsia"/>
                <w:sz w:val="24"/>
                <w:szCs w:val="24"/>
                <w:lang w:val="en-US" w:eastAsia="zh-CN"/>
              </w:rPr>
            </w:pPr>
          </w:p>
        </w:tc>
        <w:tc>
          <w:tcPr>
            <w:tcW w:w="491" w:type="dxa"/>
            <w:tcBorders>
              <w:top w:val="outset" w:color="auto" w:sz="6" w:space="0"/>
              <w:bottom w:val="outset" w:color="auto" w:sz="6" w:space="0"/>
            </w:tcBorders>
            <w:noWrap w:val="0"/>
            <w:tcMar>
              <w:top w:w="113" w:type="dxa"/>
              <w:left w:w="0" w:type="dxa"/>
              <w:bottom w:w="113" w:type="dxa"/>
              <w:right w:w="0" w:type="dxa"/>
            </w:tcMar>
            <w:vAlign w:val="center"/>
          </w:tcPr>
          <w:p w14:paraId="1DF3356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3</w:t>
            </w:r>
          </w:p>
        </w:tc>
        <w:tc>
          <w:tcPr>
            <w:tcW w:w="1299"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39289D8F">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2026年 9月 15日</w:t>
            </w:r>
          </w:p>
        </w:tc>
        <w:tc>
          <w:tcPr>
            <w:tcW w:w="2482"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4298C2F9">
            <w:pPr>
              <w:keepNext w:val="0"/>
              <w:keepLines w:val="0"/>
              <w:widowControl/>
              <w:suppressLineNumbers w:val="0"/>
              <w:jc w:val="center"/>
              <w:textAlignment w:val="bottom"/>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i w:val="0"/>
                <w:iCs w:val="0"/>
                <w:caps w:val="0"/>
                <w:spacing w:val="0"/>
                <w:sz w:val="18"/>
                <w:szCs w:val="18"/>
                <w:shd w:val="clear" w:fill="FFFFFF"/>
              </w:rPr>
              <w:t>额敏县辉腾商贸有限公司</w:t>
            </w:r>
          </w:p>
        </w:tc>
        <w:tc>
          <w:tcPr>
            <w:tcW w:w="3488"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4866138C">
            <w:pPr>
              <w:keepNext w:val="0"/>
              <w:keepLines w:val="0"/>
              <w:widowControl/>
              <w:suppressLineNumbers w:val="0"/>
              <w:jc w:val="center"/>
              <w:textAlignment w:val="bottom"/>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额敏县辉腾商贸有限公司道路运输经营者未按照规定的周期和频次进行车辆检验检测</w:t>
            </w:r>
          </w:p>
        </w:tc>
        <w:tc>
          <w:tcPr>
            <w:tcW w:w="9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281D1119">
            <w:pPr>
              <w:keepNext w:val="0"/>
              <w:keepLines w:val="0"/>
              <w:pageBreakBefore w:val="0"/>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否</w:t>
            </w:r>
          </w:p>
        </w:tc>
        <w:tc>
          <w:tcPr>
            <w:tcW w:w="12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7CA28E6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bottom"/>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1000</w:t>
            </w:r>
          </w:p>
        </w:tc>
        <w:tc>
          <w:tcPr>
            <w:tcW w:w="3041"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33DF7B55">
            <w:pPr>
              <w:keepNext w:val="0"/>
              <w:keepLines w:val="0"/>
              <w:widowControl/>
              <w:suppressLineNumbers w:val="0"/>
              <w:jc w:val="center"/>
              <w:textAlignment w:val="bottom"/>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新塔额交执运政简〔2026〕0103号</w:t>
            </w:r>
          </w:p>
        </w:tc>
      </w:tr>
      <w:tr w14:paraId="4EF437FD">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CellMar>
            <w:top w:w="0" w:type="dxa"/>
            <w:left w:w="0" w:type="dxa"/>
            <w:bottom w:w="0" w:type="dxa"/>
            <w:right w:w="0" w:type="dxa"/>
          </w:tblCellMar>
        </w:tblPrEx>
        <w:trPr>
          <w:cantSplit/>
          <w:trHeight w:val="982" w:hRule="exact"/>
          <w:tblCellSpacing w:w="0" w:type="dxa"/>
        </w:trPr>
        <w:tc>
          <w:tcPr>
            <w:tcW w:w="899" w:type="dxa"/>
            <w:vMerge w:val="continue"/>
            <w:noWrap w:val="0"/>
            <w:vAlign w:val="center"/>
          </w:tcPr>
          <w:p w14:paraId="09E65F29">
            <w:pPr>
              <w:keepNext w:val="0"/>
              <w:keepLines w:val="0"/>
              <w:widowControl/>
              <w:suppressLineNumbers w:val="0"/>
              <w:jc w:val="center"/>
              <w:textAlignment w:val="center"/>
              <w:rPr>
                <w:rFonts w:hint="eastAsia" w:asciiTheme="minorEastAsia" w:hAnsiTheme="minorEastAsia" w:eastAsiaTheme="minorEastAsia" w:cstheme="minorEastAsia"/>
                <w:sz w:val="24"/>
                <w:szCs w:val="24"/>
                <w:lang w:val="en-US" w:eastAsia="zh-CN"/>
              </w:rPr>
            </w:pPr>
          </w:p>
        </w:tc>
        <w:tc>
          <w:tcPr>
            <w:tcW w:w="491" w:type="dxa"/>
            <w:tcBorders>
              <w:top w:val="outset" w:color="auto" w:sz="6" w:space="0"/>
              <w:bottom w:val="outset" w:color="auto" w:sz="6" w:space="0"/>
            </w:tcBorders>
            <w:noWrap w:val="0"/>
            <w:tcMar>
              <w:top w:w="113" w:type="dxa"/>
              <w:left w:w="0" w:type="dxa"/>
              <w:bottom w:w="113" w:type="dxa"/>
              <w:right w:w="0" w:type="dxa"/>
            </w:tcMar>
            <w:vAlign w:val="center"/>
          </w:tcPr>
          <w:p w14:paraId="6E34E90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4</w:t>
            </w:r>
          </w:p>
        </w:tc>
        <w:tc>
          <w:tcPr>
            <w:tcW w:w="1299"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7A70FCFD">
            <w:pPr>
              <w:keepNext w:val="0"/>
              <w:keepLines w:val="0"/>
              <w:widowControl/>
              <w:suppressLineNumbers w:val="0"/>
              <w:jc w:val="center"/>
              <w:textAlignment w:val="bottom"/>
              <w:rPr>
                <w:rFonts w:hint="eastAsia" w:asciiTheme="minorEastAsia" w:hAnsiTheme="minorEastAsia" w:eastAsiaTheme="minorEastAsia" w:cstheme="minorEastAsia"/>
                <w:i w:val="0"/>
                <w:iCs w:val="0"/>
                <w:caps w:val="0"/>
                <w:spacing w:val="0"/>
                <w:sz w:val="18"/>
                <w:szCs w:val="18"/>
                <w:shd w:val="clear" w:fill="FFFFFF"/>
              </w:rPr>
            </w:pPr>
            <w:r>
              <w:rPr>
                <w:rFonts w:hint="eastAsia" w:asciiTheme="minorEastAsia" w:hAnsiTheme="minorEastAsia" w:eastAsiaTheme="minorEastAsia" w:cstheme="minorEastAsia"/>
                <w:i w:val="0"/>
                <w:iCs w:val="0"/>
                <w:caps w:val="0"/>
                <w:spacing w:val="0"/>
                <w:sz w:val="18"/>
                <w:szCs w:val="18"/>
                <w:shd w:val="clear" w:fill="FFFFFF"/>
              </w:rPr>
              <w:t>2026年 9月 17日</w:t>
            </w:r>
          </w:p>
        </w:tc>
        <w:tc>
          <w:tcPr>
            <w:tcW w:w="2482"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136FDC24">
            <w:pPr>
              <w:keepNext w:val="0"/>
              <w:keepLines w:val="0"/>
              <w:widowControl/>
              <w:suppressLineNumbers w:val="0"/>
              <w:jc w:val="center"/>
              <w:textAlignment w:val="bottom"/>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i w:val="0"/>
                <w:iCs w:val="0"/>
                <w:caps w:val="0"/>
                <w:spacing w:val="0"/>
                <w:sz w:val="18"/>
                <w:szCs w:val="18"/>
                <w:shd w:val="clear" w:fill="FFFFFF"/>
              </w:rPr>
              <w:t>额敏鸿峰商贸有限公司</w:t>
            </w:r>
          </w:p>
        </w:tc>
        <w:tc>
          <w:tcPr>
            <w:tcW w:w="3488"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16297E98">
            <w:pPr>
              <w:keepNext w:val="0"/>
              <w:keepLines w:val="0"/>
              <w:widowControl/>
              <w:suppressLineNumbers w:val="0"/>
              <w:jc w:val="center"/>
              <w:textAlignment w:val="bottom"/>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i w:val="0"/>
                <w:iCs w:val="0"/>
                <w:caps w:val="0"/>
                <w:spacing w:val="0"/>
                <w:sz w:val="18"/>
                <w:szCs w:val="18"/>
                <w:bdr w:val="none" w:color="auto" w:sz="0" w:space="0"/>
                <w:shd w:val="clear" w:fill="FFFFFF"/>
              </w:rPr>
              <w:t>额敏县鸿峰商贸有限公司从事道路运输经营的营运车辆，未按照规定参加车辆年度审验</w:t>
            </w:r>
          </w:p>
        </w:tc>
        <w:tc>
          <w:tcPr>
            <w:tcW w:w="9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4F11DDC5">
            <w:pPr>
              <w:keepNext w:val="0"/>
              <w:keepLines w:val="0"/>
              <w:pageBreakBefore w:val="0"/>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否</w:t>
            </w:r>
          </w:p>
        </w:tc>
        <w:tc>
          <w:tcPr>
            <w:tcW w:w="12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5577DCD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bottom"/>
              <w:rPr>
                <w:rFonts w:hint="eastAsia" w:asciiTheme="minorEastAsia" w:hAnsiTheme="minorEastAsia" w:eastAsiaTheme="minorEastAsia" w:cstheme="minorEastAsia"/>
                <w:i w:val="0"/>
                <w:iCs w:val="0"/>
                <w:caps w:val="0"/>
                <w:color w:val="606266"/>
                <w:spacing w:val="0"/>
                <w:sz w:val="18"/>
                <w:szCs w:val="18"/>
                <w:shd w:val="clear" w:fill="FCFCFC"/>
                <w:lang w:val="en-US" w:eastAsia="zh-CN"/>
              </w:rPr>
            </w:pPr>
            <w:r>
              <w:rPr>
                <w:rFonts w:hint="eastAsia" w:asciiTheme="minorEastAsia" w:hAnsiTheme="minorEastAsia" w:eastAsiaTheme="minorEastAsia" w:cstheme="minorEastAsia"/>
                <w:i w:val="0"/>
                <w:iCs w:val="0"/>
                <w:caps w:val="0"/>
                <w:color w:val="606266"/>
                <w:spacing w:val="0"/>
                <w:sz w:val="18"/>
                <w:szCs w:val="18"/>
                <w:shd w:val="clear" w:fill="FCFCFC"/>
                <w:lang w:val="en-US" w:eastAsia="zh-CN"/>
              </w:rPr>
              <w:t>500</w:t>
            </w:r>
          </w:p>
        </w:tc>
        <w:tc>
          <w:tcPr>
            <w:tcW w:w="3041"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1E0A983B">
            <w:pPr>
              <w:keepNext w:val="0"/>
              <w:keepLines w:val="0"/>
              <w:widowControl/>
              <w:suppressLineNumbers w:val="0"/>
              <w:jc w:val="center"/>
              <w:textAlignment w:val="bottom"/>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新塔额交执运政简〔2026〕0104号</w:t>
            </w:r>
          </w:p>
        </w:tc>
      </w:tr>
      <w:tr w14:paraId="7BFAA825">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CellMar>
            <w:top w:w="0" w:type="dxa"/>
            <w:left w:w="0" w:type="dxa"/>
            <w:bottom w:w="0" w:type="dxa"/>
            <w:right w:w="0" w:type="dxa"/>
          </w:tblCellMar>
        </w:tblPrEx>
        <w:trPr>
          <w:cantSplit/>
          <w:trHeight w:val="982" w:hRule="exact"/>
          <w:tblCellSpacing w:w="0" w:type="dxa"/>
        </w:trPr>
        <w:tc>
          <w:tcPr>
            <w:tcW w:w="899" w:type="dxa"/>
            <w:vMerge w:val="continue"/>
            <w:noWrap w:val="0"/>
            <w:vAlign w:val="center"/>
          </w:tcPr>
          <w:p w14:paraId="00C8720D">
            <w:pPr>
              <w:keepNext w:val="0"/>
              <w:keepLines w:val="0"/>
              <w:widowControl/>
              <w:suppressLineNumbers w:val="0"/>
              <w:jc w:val="center"/>
              <w:textAlignment w:val="center"/>
              <w:rPr>
                <w:rFonts w:hint="eastAsia" w:asciiTheme="minorEastAsia" w:hAnsiTheme="minorEastAsia" w:eastAsiaTheme="minorEastAsia" w:cstheme="minorEastAsia"/>
                <w:sz w:val="24"/>
                <w:szCs w:val="24"/>
                <w:lang w:val="en-US" w:eastAsia="zh-CN"/>
              </w:rPr>
            </w:pPr>
          </w:p>
        </w:tc>
        <w:tc>
          <w:tcPr>
            <w:tcW w:w="491" w:type="dxa"/>
            <w:tcBorders>
              <w:top w:val="outset" w:color="auto" w:sz="6" w:space="0"/>
              <w:bottom w:val="outset" w:color="auto" w:sz="6" w:space="0"/>
            </w:tcBorders>
            <w:noWrap w:val="0"/>
            <w:tcMar>
              <w:top w:w="113" w:type="dxa"/>
              <w:left w:w="0" w:type="dxa"/>
              <w:bottom w:w="113" w:type="dxa"/>
              <w:right w:w="0" w:type="dxa"/>
            </w:tcMar>
            <w:vAlign w:val="center"/>
          </w:tcPr>
          <w:p w14:paraId="13246A8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heme="minorEastAsia" w:hAnsiTheme="minorEastAsia" w:eastAsiaTheme="minorEastAsia" w:cstheme="minorEastAsia"/>
                <w:sz w:val="24"/>
                <w:szCs w:val="24"/>
                <w:lang w:val="en-US" w:eastAsia="zh-CN"/>
              </w:rPr>
            </w:pPr>
          </w:p>
        </w:tc>
        <w:tc>
          <w:tcPr>
            <w:tcW w:w="1299"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14D9D656">
            <w:pPr>
              <w:keepNext w:val="0"/>
              <w:keepLines w:val="0"/>
              <w:widowControl/>
              <w:suppressLineNumbers w:val="0"/>
              <w:jc w:val="center"/>
              <w:textAlignment w:val="bottom"/>
              <w:rPr>
                <w:rFonts w:ascii="sans-serif" w:hAnsi="sans-serif" w:eastAsia="sans-serif" w:cs="sans-serif"/>
                <w:i w:val="0"/>
                <w:iCs w:val="0"/>
                <w:caps w:val="0"/>
                <w:spacing w:val="0"/>
                <w:sz w:val="11"/>
                <w:szCs w:val="11"/>
                <w:shd w:val="clear" w:fill="FFFFFF"/>
              </w:rPr>
            </w:pPr>
          </w:p>
        </w:tc>
        <w:tc>
          <w:tcPr>
            <w:tcW w:w="2482"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3D3FEB08">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p>
        </w:tc>
        <w:tc>
          <w:tcPr>
            <w:tcW w:w="3488"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0AC47C0A">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p>
        </w:tc>
        <w:tc>
          <w:tcPr>
            <w:tcW w:w="9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1F6BC68B">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cs="宋体"/>
                <w:kern w:val="2"/>
                <w:sz w:val="15"/>
                <w:szCs w:val="15"/>
                <w:lang w:val="en-US" w:eastAsia="zh-CN" w:bidi="ar-SA"/>
              </w:rPr>
            </w:pPr>
          </w:p>
        </w:tc>
        <w:tc>
          <w:tcPr>
            <w:tcW w:w="12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52A6014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bottom"/>
              <w:rPr>
                <w:rFonts w:hint="default" w:ascii="Noto Sans SC" w:hAnsi="Noto Sans SC" w:eastAsia="Noto Sans SC" w:cs="Noto Sans SC"/>
                <w:i w:val="0"/>
                <w:iCs w:val="0"/>
                <w:caps w:val="0"/>
                <w:color w:val="606266"/>
                <w:spacing w:val="0"/>
                <w:sz w:val="14"/>
                <w:szCs w:val="14"/>
                <w:shd w:val="clear" w:fill="FCFCFC"/>
                <w:lang w:val="en-US" w:eastAsia="zh-CN"/>
              </w:rPr>
            </w:pPr>
          </w:p>
        </w:tc>
        <w:tc>
          <w:tcPr>
            <w:tcW w:w="3041"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7766A25E">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p>
        </w:tc>
      </w:tr>
      <w:bookmarkEnd w:id="1"/>
      <w:bookmarkEnd w:id="2"/>
    </w:tbl>
    <w:p w14:paraId="77C16042"/>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embedRegular r:id="rId1" w:fontKey="{B4A78051-FF5B-4935-8F56-527676AD7A4C}"/>
  </w:font>
  <w:font w:name="方正小标宋简体">
    <w:panose1 w:val="02000000000000000000"/>
    <w:charset w:val="86"/>
    <w:family w:val="auto"/>
    <w:pitch w:val="default"/>
    <w:sig w:usb0="00000001" w:usb1="08000000" w:usb2="00000000" w:usb3="00000000" w:csb0="00040000" w:csb1="00000000"/>
    <w:embedRegular r:id="rId2" w:fontKey="{EC2C22DE-A6D3-4A51-8623-C8860364266E}"/>
  </w:font>
  <w:font w:name="sans-serif">
    <w:altName w:val="Segoe Print"/>
    <w:panose1 w:val="00000000000000000000"/>
    <w:charset w:val="00"/>
    <w:family w:val="auto"/>
    <w:pitch w:val="default"/>
    <w:sig w:usb0="00000000" w:usb1="00000000" w:usb2="00000000" w:usb3="00000000" w:csb0="00000000" w:csb1="00000000"/>
    <w:embedRegular r:id="rId3" w:fontKey="{5380FFE9-7DC7-48A4-BC92-40971EEFDF24}"/>
  </w:font>
  <w:font w:name="Segoe Print">
    <w:panose1 w:val="02000600000000000000"/>
    <w:charset w:val="00"/>
    <w:family w:val="auto"/>
    <w:pitch w:val="default"/>
    <w:sig w:usb0="0000028F" w:usb1="00000000" w:usb2="00000000" w:usb3="00000000" w:csb0="2000009F" w:csb1="47010000"/>
  </w:font>
  <w:font w:name="Noto Sans SC">
    <w:panose1 w:val="020B0200000000000000"/>
    <w:charset w:val="86"/>
    <w:family w:val="auto"/>
    <w:pitch w:val="default"/>
    <w:sig w:usb0="20000083" w:usb1="2ADF3C10" w:usb2="00000016" w:usb3="00000000" w:csb0="60060107" w:csb1="00000000"/>
    <w:embedRegular r:id="rId4" w:fontKey="{FDFA0D2E-ACD1-48BF-9ABA-0CF6490F38AA}"/>
  </w:font>
  <w:font w:name="WPSEMBED1">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187D15"/>
    <w:rsid w:val="003532FE"/>
    <w:rsid w:val="1E8E20FF"/>
    <w:rsid w:val="2170582A"/>
    <w:rsid w:val="243C43AB"/>
    <w:rsid w:val="27167136"/>
    <w:rsid w:val="2C187D15"/>
    <w:rsid w:val="2FA572A9"/>
    <w:rsid w:val="46C7257D"/>
    <w:rsid w:val="4A2D016F"/>
    <w:rsid w:val="63BF5E84"/>
    <w:rsid w:val="65F36C8E"/>
    <w:rsid w:val="6B301415"/>
    <w:rsid w:val="6C692E30"/>
    <w:rsid w:val="71761940"/>
    <w:rsid w:val="73CF5C6F"/>
    <w:rsid w:val="74440CC4"/>
    <w:rsid w:val="7CC905B1"/>
    <w:rsid w:val="7CD75B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240</Words>
  <Characters>278</Characters>
  <Lines>0</Lines>
  <Paragraphs>0</Paragraphs>
  <TotalTime>17</TotalTime>
  <ScaleCrop>false</ScaleCrop>
  <LinksUpToDate>false</LinksUpToDate>
  <CharactersWithSpaces>321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2026-08-20T02:12:00Z</dcterms:created>
  <dc:creator>安好</dc:creator>
  <cp:lastModifiedBy> 沙漠听海</cp:lastModifiedBy>
  <dcterms:modified xsi:type="dcterms:W3CDTF">2026-09-20T03:17:45Z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F0DBD637A059407B815E665C35C63605_13</vt:lpwstr>
  </property>
  <property fmtid="{D5CDD505-2E9C-101B-9397-08002B2CF9AE}" pid="4" name="KSOTemplateDocerSaveRecord">
    <vt:lpwstr>eyJoZGlkIjoiODQ1YzNhYzcwYzk3ZTI4ZDJiNTIyNmUzZDYyNWE5MjkiLCJ1c2VySWQiOiI1MDYzMDY2MzIifQ==</vt:lpwstr>
  </property>
</Properties>
</file>