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黑体"/>
          <w:sz w:val="20"/>
        </w:rPr>
      </w:pPr>
      <w:bookmarkStart w:id="3" w:name="_GoBack"/>
      <w:bookmarkEnd w:id="3"/>
      <w:bookmarkStart w:id="0" w:name="OLE_LINK2"/>
      <w:bookmarkStart w:id="1" w:name="OLE_LINK1"/>
    </w:p>
    <w:p>
      <w:pPr>
        <w:keepNext w:val="0"/>
        <w:keepLines w:val="0"/>
        <w:pageBreakBefore w:val="0"/>
        <w:widowControl w:val="0"/>
        <w:kinsoku/>
        <w:wordWrap/>
        <w:overflowPunct/>
        <w:topLinePunct w:val="0"/>
        <w:autoSpaceDE/>
        <w:autoSpaceDN/>
        <w:bidi w:val="0"/>
        <w:adjustRightInd/>
        <w:snapToGrid/>
        <w:spacing w:before="210" w:line="212" w:lineRule="auto"/>
        <w:ind w:left="2511" w:leftChars="724" w:right="1155" w:rightChars="550" w:hanging="991" w:hangingChars="261"/>
        <w:jc w:val="center"/>
        <w:textAlignment w:val="auto"/>
        <w:rPr>
          <w:rFonts w:hint="eastAsia" w:ascii="方正小标宋_GBK" w:hAnsi="方正小标宋_GBK" w:eastAsia="方正小标宋_GBK"/>
          <w:sz w:val="38"/>
        </w:rPr>
      </w:pPr>
      <w:r>
        <w:rPr>
          <w:rFonts w:hint="eastAsia" w:ascii="方正小标宋_GBK" w:hAnsi="方正小标宋_GBK" w:eastAsia="方正小标宋_GBK"/>
          <w:sz w:val="38"/>
          <w:lang w:val="en-US" w:eastAsia="zh-CN"/>
        </w:rPr>
        <w:t>塔城地区</w:t>
      </w:r>
      <w:r>
        <w:rPr>
          <w:rFonts w:hint="eastAsia" w:ascii="方正小标宋_GBK" w:hAnsi="方正小标宋_GBK" w:eastAsia="方正小标宋_GBK"/>
          <w:sz w:val="38"/>
        </w:rPr>
        <w:t>生态环境局</w:t>
      </w:r>
    </w:p>
    <w:p>
      <w:pPr>
        <w:keepNext w:val="0"/>
        <w:keepLines w:val="0"/>
        <w:pageBreakBefore w:val="0"/>
        <w:widowControl w:val="0"/>
        <w:kinsoku/>
        <w:wordWrap/>
        <w:overflowPunct/>
        <w:topLinePunct w:val="0"/>
        <w:autoSpaceDE/>
        <w:autoSpaceDN/>
        <w:bidi w:val="0"/>
        <w:adjustRightInd/>
        <w:snapToGrid/>
        <w:spacing w:before="210" w:line="212" w:lineRule="auto"/>
        <w:ind w:left="2511" w:leftChars="724" w:right="1155" w:rightChars="550" w:hanging="991" w:hangingChars="261"/>
        <w:jc w:val="center"/>
        <w:textAlignment w:val="auto"/>
        <w:rPr>
          <w:rFonts w:ascii="方正小标宋_GBK"/>
          <w:sz w:val="9"/>
        </w:rPr>
      </w:pPr>
      <w:r>
        <w:rPr>
          <w:rFonts w:hint="eastAsia" w:ascii="方正小标宋_GBK" w:hAnsi="方正小标宋_GBK" w:eastAsia="方正小标宋_GBK"/>
          <w:sz w:val="38"/>
        </w:rPr>
        <w:t>行政处罚决定书</w:t>
      </w:r>
    </w:p>
    <w:p>
      <w:pPr>
        <w:tabs>
          <w:tab w:val="left" w:pos="4051"/>
          <w:tab w:val="left" w:pos="5650"/>
          <w:tab w:val="left" w:pos="6291"/>
        </w:tabs>
        <w:spacing w:before="66"/>
        <w:ind w:left="2932" w:right="0" w:firstLine="0"/>
        <w:jc w:val="left"/>
        <w:rPr>
          <w:rFonts w:hint="eastAsia" w:ascii="楷体_GB2312" w:eastAsia="楷体_GB2312"/>
          <w:sz w:val="32"/>
        </w:rPr>
      </w:pPr>
      <w:r>
        <w:rPr>
          <w:rFonts w:ascii="Times New Roman" w:eastAsia="Times New Roman"/>
          <w:w w:val="100"/>
          <w:sz w:val="32"/>
          <w:u w:val="single"/>
        </w:rPr>
        <w:t xml:space="preserve"> </w:t>
      </w:r>
      <w:bookmarkStart w:id="2" w:name="OLE_LINK3"/>
      <w:r>
        <w:rPr>
          <w:rFonts w:hint="eastAsia" w:ascii="Times New Roman" w:eastAsia="宋体"/>
          <w:w w:val="100"/>
          <w:sz w:val="32"/>
          <w:u w:val="single"/>
          <w:lang w:val="en-US" w:eastAsia="zh-CN"/>
        </w:rPr>
        <w:t xml:space="preserve">塔地环额 </w:t>
      </w:r>
      <w:r>
        <w:rPr>
          <w:rFonts w:hint="eastAsia" w:ascii="楷体_GB2312" w:eastAsia="楷体_GB2312"/>
          <w:sz w:val="32"/>
        </w:rPr>
        <w:t>罚〔</w:t>
      </w:r>
      <w:r>
        <w:rPr>
          <w:rFonts w:hint="eastAsia" w:ascii="楷体_GB2312" w:eastAsia="楷体_GB2312"/>
          <w:sz w:val="32"/>
          <w:lang w:val="en-US" w:eastAsia="zh-CN"/>
        </w:rPr>
        <w:t>2026</w:t>
      </w:r>
      <w:r>
        <w:rPr>
          <w:rFonts w:hint="eastAsia" w:ascii="楷体_GB2312" w:eastAsia="楷体_GB2312"/>
          <w:sz w:val="32"/>
        </w:rPr>
        <w:t>〕</w:t>
      </w:r>
      <w:r>
        <w:rPr>
          <w:rFonts w:hint="eastAsia" w:ascii="楷体_GB2312" w:eastAsia="楷体_GB2312"/>
          <w:sz w:val="32"/>
          <w:u w:val="single"/>
        </w:rPr>
        <w:t xml:space="preserve"> </w:t>
      </w:r>
      <w:r>
        <w:rPr>
          <w:rFonts w:hint="eastAsia" w:ascii="楷体_GB2312" w:eastAsia="楷体_GB2312"/>
          <w:sz w:val="32"/>
          <w:u w:val="single"/>
          <w:lang w:val="en-US" w:eastAsia="zh-CN"/>
        </w:rPr>
        <w:t>3</w:t>
      </w:r>
      <w:r>
        <w:rPr>
          <w:rFonts w:hint="eastAsia" w:ascii="楷体_GB2312" w:eastAsia="楷体_GB2312"/>
          <w:sz w:val="32"/>
        </w:rPr>
        <w:t>号</w:t>
      </w:r>
      <w:bookmarkEnd w:id="2"/>
    </w:p>
    <w:p>
      <w:pPr>
        <w:pStyle w:val="3"/>
        <w:rPr>
          <w:rFonts w:ascii="楷体_GB2312"/>
          <w:sz w:val="34"/>
        </w:rPr>
      </w:pPr>
    </w:p>
    <w:p>
      <w:pPr>
        <w:pStyle w:val="3"/>
        <w:keepNext w:val="0"/>
        <w:keepLines w:val="0"/>
        <w:pageBreakBefore w:val="0"/>
        <w:widowControl w:val="0"/>
        <w:tabs>
          <w:tab w:val="left" w:pos="2898"/>
          <w:tab w:val="left" w:pos="3648"/>
          <w:tab w:val="left" w:pos="4398"/>
          <w:tab w:val="left" w:pos="9195"/>
        </w:tabs>
        <w:kinsoku/>
        <w:wordWrap w:val="0"/>
        <w:overflowPunct/>
        <w:topLinePunct w:val="0"/>
        <w:autoSpaceDE/>
        <w:autoSpaceDN/>
        <w:bidi w:val="0"/>
        <w:adjustRightInd/>
        <w:snapToGrid/>
        <w:spacing w:before="274" w:line="365" w:lineRule="auto"/>
        <w:ind w:left="351" w:leftChars="0" w:right="788" w:rightChars="0" w:firstLine="0" w:firstLineChars="0"/>
        <w:jc w:val="both"/>
        <w:textAlignment w:val="auto"/>
      </w:pPr>
      <w:r>
        <w:t>当事人名称/姓名：</w:t>
      </w:r>
      <w:r>
        <w:rPr>
          <w:rFonts w:ascii="Times New Roman" w:eastAsia="Times New Roman"/>
          <w:u w:val="single"/>
        </w:rPr>
        <w:t xml:space="preserve"> </w:t>
      </w:r>
      <w:r>
        <w:rPr>
          <w:rFonts w:hint="eastAsia" w:ascii="Times New Roman" w:eastAsia="Times New Roman"/>
          <w:u w:val="single"/>
        </w:rPr>
        <w:t>额敏县</w:t>
      </w:r>
      <w:r>
        <w:rPr>
          <w:rFonts w:hint="eastAsia" w:ascii="Times New Roman" w:eastAsia="宋体"/>
          <w:u w:val="single"/>
          <w:lang w:val="en-US" w:eastAsia="zh-CN"/>
        </w:rPr>
        <w:t xml:space="preserve">城南污水处理厂                    </w:t>
      </w:r>
      <w:r>
        <w:t>法定代表人：</w:t>
      </w:r>
      <w:r>
        <w:rPr>
          <w:rFonts w:ascii="Times New Roman" w:eastAsia="Times New Roman"/>
          <w:u w:val="single"/>
        </w:rPr>
        <w:t xml:space="preserve"> </w:t>
      </w:r>
      <w:r>
        <w:rPr>
          <w:rFonts w:hint="eastAsia" w:ascii="Times New Roman" w:eastAsia="Times New Roman" w:cs="仿宋_GB2312"/>
          <w:kern w:val="0"/>
          <w:sz w:val="30"/>
          <w:szCs w:val="30"/>
          <w:u w:val="single"/>
          <w:lang w:val="en-US" w:eastAsia="zh-CN" w:bidi="ar-SA"/>
        </w:rPr>
        <w:t xml:space="preserve">李兵                                         </w:t>
      </w:r>
      <w:r>
        <w:t>统一社会信用代码：</w:t>
      </w:r>
      <w:r>
        <w:rPr>
          <w:rFonts w:ascii="Times New Roman" w:eastAsia="Times New Roman"/>
          <w:u w:val="single"/>
        </w:rPr>
        <w:t xml:space="preserve"> </w:t>
      </w:r>
      <w:r>
        <w:rPr>
          <w:rFonts w:hint="eastAsia" w:ascii="Times New Roman" w:eastAsia="Times New Roman"/>
          <w:u w:val="single"/>
        </w:rPr>
        <w:t>916542210531875698</w:t>
      </w:r>
      <w:r>
        <w:rPr>
          <w:rFonts w:hint="eastAsia" w:ascii="Times New Roman" w:eastAsia="宋体"/>
          <w:u w:val="single"/>
          <w:lang w:val="en-US" w:eastAsia="zh-CN"/>
        </w:rPr>
        <w:t xml:space="preserve">                     </w:t>
      </w:r>
      <w:r>
        <w:t>地址：</w:t>
      </w:r>
      <w:r>
        <w:rPr>
          <w:rFonts w:ascii="Times New Roman" w:eastAsia="Times New Roman"/>
          <w:u w:val="single"/>
        </w:rPr>
        <w:t xml:space="preserve"> </w:t>
      </w:r>
      <w:r>
        <w:rPr>
          <w:rFonts w:hint="eastAsia" w:ascii="Times New Roman" w:eastAsia="Times New Roman"/>
          <w:u w:val="single"/>
        </w:rPr>
        <w:t>新疆塔城地区额敏县二支河切恩格勒德哈仁村271号</w:t>
      </w:r>
      <w:r>
        <w:rPr>
          <w:rFonts w:hint="eastAsia" w:ascii="Times New Roman" w:eastAsia="宋体"/>
          <w:u w:val="single"/>
          <w:lang w:val="en-US" w:eastAsia="zh-CN"/>
        </w:rPr>
        <w:t xml:space="preserve">      </w:t>
      </w:r>
      <w:r>
        <w:rPr>
          <w:rFonts w:hint="eastAsia"/>
          <w:lang w:val="en-US" w:eastAsia="zh-CN"/>
        </w:rPr>
        <w:t xml:space="preserve">    我</w:t>
      </w:r>
      <w:r>
        <w:rPr>
          <w:spacing w:val="-1"/>
        </w:rPr>
        <w:t>局于</w:t>
      </w:r>
      <w:r>
        <w:rPr>
          <w:rFonts w:hint="eastAsia" w:ascii="仿宋_GB2312" w:hAnsi="宋体" w:eastAsia="仿宋_GB2312"/>
          <w:color w:val="auto"/>
          <w:sz w:val="30"/>
          <w:szCs w:val="30"/>
          <w:u w:val="single"/>
          <w:lang w:val="en-US" w:eastAsia="zh-CN"/>
        </w:rPr>
        <w:t>2026</w:t>
      </w:r>
      <w:r>
        <w:rPr>
          <w:rFonts w:hint="eastAsia" w:ascii="仿宋_GB2312" w:hAnsi="宋体" w:eastAsia="仿宋_GB2312"/>
          <w:color w:val="auto"/>
          <w:sz w:val="30"/>
          <w:szCs w:val="30"/>
        </w:rPr>
        <w:t>年</w:t>
      </w:r>
      <w:r>
        <w:rPr>
          <w:rFonts w:hint="eastAsia" w:ascii="仿宋_GB2312" w:hAnsi="宋体" w:eastAsia="仿宋_GB2312"/>
          <w:color w:val="auto"/>
          <w:sz w:val="30"/>
          <w:szCs w:val="30"/>
          <w:u w:val="single"/>
        </w:rPr>
        <w:t xml:space="preserve"> </w:t>
      </w:r>
      <w:r>
        <w:rPr>
          <w:rFonts w:hint="eastAsia" w:ascii="仿宋_GB2312" w:hAnsi="宋体" w:eastAsia="仿宋_GB2312"/>
          <w:color w:val="auto"/>
          <w:sz w:val="30"/>
          <w:szCs w:val="30"/>
          <w:u w:val="single"/>
          <w:lang w:val="en-US" w:eastAsia="zh-CN"/>
        </w:rPr>
        <w:t>4</w:t>
      </w:r>
      <w:r>
        <w:rPr>
          <w:rFonts w:hint="eastAsia" w:ascii="仿宋_GB2312" w:hAnsi="宋体" w:eastAsia="仿宋_GB2312"/>
          <w:color w:val="auto"/>
          <w:sz w:val="30"/>
          <w:szCs w:val="30"/>
        </w:rPr>
        <w:t>月</w:t>
      </w:r>
      <w:r>
        <w:rPr>
          <w:rFonts w:hint="eastAsia" w:ascii="仿宋_GB2312" w:hAnsi="宋体" w:eastAsia="仿宋_GB2312"/>
          <w:color w:val="auto"/>
          <w:sz w:val="30"/>
          <w:szCs w:val="30"/>
          <w:u w:val="single"/>
        </w:rPr>
        <w:t xml:space="preserve"> </w:t>
      </w:r>
      <w:r>
        <w:rPr>
          <w:rFonts w:hint="eastAsia" w:ascii="仿宋_GB2312" w:hAnsi="宋体" w:eastAsia="仿宋_GB2312"/>
          <w:color w:val="auto"/>
          <w:sz w:val="30"/>
          <w:szCs w:val="30"/>
          <w:u w:val="single"/>
          <w:lang w:val="en-US" w:eastAsia="zh-CN"/>
        </w:rPr>
        <w:t>23</w:t>
      </w:r>
      <w:r>
        <w:rPr>
          <w:rFonts w:hint="eastAsia" w:ascii="仿宋_GB2312" w:hAnsi="宋体" w:eastAsia="仿宋_GB2312"/>
          <w:color w:val="auto"/>
          <w:sz w:val="30"/>
          <w:szCs w:val="30"/>
          <w:u w:val="single"/>
        </w:rPr>
        <w:t xml:space="preserve"> </w:t>
      </w:r>
      <w:r>
        <w:rPr>
          <w:rFonts w:hint="eastAsia" w:ascii="仿宋_GB2312" w:hAnsi="宋体" w:eastAsia="仿宋_GB2312"/>
          <w:color w:val="auto"/>
          <w:sz w:val="30"/>
          <w:szCs w:val="30"/>
        </w:rPr>
        <w:t>日</w:t>
      </w:r>
      <w:r>
        <w:rPr>
          <w:rFonts w:hint="eastAsia"/>
          <w:spacing w:val="-1"/>
        </w:rPr>
        <w:t>对</w:t>
      </w:r>
      <w:r>
        <w:rPr>
          <w:spacing w:val="-1"/>
        </w:rPr>
        <w:t>你单位进行了调查，发</w:t>
      </w:r>
      <w:r>
        <w:t>现你单位实施了以下生态环境违法行为：</w:t>
      </w:r>
    </w:p>
    <w:p>
      <w:pPr>
        <w:pStyle w:val="3"/>
        <w:keepNext w:val="0"/>
        <w:keepLines w:val="0"/>
        <w:pageBreakBefore w:val="0"/>
        <w:widowControl w:val="0"/>
        <w:kinsoku/>
        <w:wordWrap/>
        <w:overflowPunct/>
        <w:topLinePunct w:val="0"/>
        <w:autoSpaceDE/>
        <w:autoSpaceDN/>
        <w:bidi w:val="0"/>
        <w:adjustRightInd/>
        <w:snapToGrid/>
        <w:spacing w:line="372" w:lineRule="auto"/>
        <w:ind w:left="351" w:leftChars="0" w:right="641" w:firstLine="600" w:firstLineChars="200"/>
        <w:textAlignment w:val="auto"/>
        <w:rPr>
          <w:rFonts w:hint="default" w:eastAsia="仿宋_GB2312"/>
          <w:lang w:val="en-US" w:eastAsia="zh-CN"/>
        </w:rPr>
      </w:pPr>
      <w:r>
        <w:rPr>
          <w:rFonts w:hint="eastAsia"/>
          <w:u w:val="single"/>
        </w:rPr>
        <w:t>我局行政执法人员现场检查发现，你单位COD数采仪出水显示2026年3月15日-3月19日、3月23日-3月31日出水COD浓度超标排放，共超标14天，COD排放标准为50mg/L；总磷数采仪出水显示2026年3月16日-3月21日、3月25日、3月27-3月29日，共超标10天,总磷排放标准为0.5mg/L。你单位额敏县城南污水处理厂存在超过水污染物排放标准排放水污染物的行为。</w:t>
      </w:r>
      <w:r>
        <w:rPr>
          <w:rFonts w:hint="eastAsia"/>
          <w:u w:val="single"/>
          <w:lang w:val="en-US" w:eastAsia="zh-CN"/>
        </w:rPr>
        <w:t xml:space="preserve">                 </w:t>
      </w:r>
    </w:p>
    <w:p>
      <w:pPr>
        <w:pStyle w:val="3"/>
        <w:keepNext w:val="0"/>
        <w:keepLines w:val="0"/>
        <w:pageBreakBefore w:val="0"/>
        <w:widowControl w:val="0"/>
        <w:kinsoku/>
        <w:wordWrap/>
        <w:overflowPunct/>
        <w:topLinePunct w:val="0"/>
        <w:autoSpaceDE/>
        <w:autoSpaceDN/>
        <w:bidi w:val="0"/>
        <w:spacing w:line="383" w:lineRule="exact"/>
        <w:ind w:right="641" w:firstLine="900" w:firstLineChars="300"/>
        <w:textAlignment w:val="auto"/>
      </w:pPr>
      <w:r>
        <w:t>以上事实，有以下主要证据证明：</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证据1：2026年4月23日现场检查（勘察）笔录一份（2026年4月23日 额敏县城南污水处理厂 李兵）、调查询问笔录一份（2026年4月23日 额敏县城南污水处理厂 李兵），用于证实该企业存在超过水污染物排放标准排放水污染物的违法行为的事实；</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证据2：塔城地区生态环境局行政执法人员杨树明、努尔古丽·朱马西，于2026年4月23日制作的现场勘察平面图，用于证实环境违法行为的真实性；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证据3：2026年4月23日由李兵提供的李兵身份证复印件，用于证实现场检查（勘察）笔录、调查询问笔录（李兵）具有法律效力；</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证据4：2026年4月23日由李兵提供的违法主体营业执照、用于证实违法行为主体的身份；</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证据5：现场照片证据，用于证实企业正常经营生产，证实违法行为的真实性；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6：2026年4月23日额敏县生态环境监测站王淑萍、陆文娟对额敏县城南污水处理厂污水总排放口进行污水采样一组共6项，污水样品送塔城生态环境监测站检测，塔城地区生态环境局额敏县分局执法人员杨树明、努尔古丽·朱马西与额敏县城南污水处理厂李兵全程陪同，用于证实污水采样的合法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7：额敏县生态环境监测站王淑萍、陆文娟的水质采样证以及水质采样原始记录表，用于证明采样人员采样程序合法合规，具备水质采样资质，证明本次水样采集、封存、送检全过程符合规范要求，监测样品来源真实、有效、可追溯，监测检测结果的合法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证据8：塔城生态环境监测站资质，用于证明该监测机构具备合法有效的环境监测资质能力，监测人员、仪器设备、检测方法均符合国家规范要求，其出具水质检测报告的合法性及真实性；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证据9：2026年4月23日由李兵提供的额敏县城南污水处理厂排污许可证正本，用于证明额敏县城南污水处理厂具备合法排污资质，系法定排污主体，排污许可处于有效状态；</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10：2026年4月23日由李兵提供的额敏县城南污水处理厂排污许可证副本（废水污染物许可排放浓度限值），用于证明额敏县城南污水处理厂废水COD、总磷许可排放浓度限值分别为50mg/L、0.5mg/L，系判定其2026年3月出水COD、总磷超标排放违法行为的法定依据；</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11：2026年4月24日由塔城地区生态环境局额敏县分局执法人员（杨树明、努尔古丽·朱马西），调阅、现场拍照提取额敏县城南污水处理厂废水总排口污染源自动监控设备COD、总磷历史监测数据，用于证实额敏县城南污水处理厂2026年3月份废水总排口化学需氧量、总磷排放浓度、超标时段及超标天数，证实其水污染物排放浓度超出法定及排污许可规定限值；</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12：2026年4月23日由李兵提供的额敏县城南污水处理厂水质在线监测系统比对验收报告，用于证实污染源自动监控设施建设、安装、比对、验收符合国家规范及环保管理要求，设备性能合格、计量准确、运行条件合规，在线监测数据具有合法性、准确性、有效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证据13：2026年4月23日由李兵提供的额敏县城南污水处理厂2026年3月14日-31日设备运行记录，用于证实额敏县城南污水处理厂超标期间污水处理设施均处于正常运行、无故障状态的事实；</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14：2026年4月23日由李兵提供的额敏县城南污水处理厂2026年3月14日-31日加药记录表，用于证实该期间额敏县城南污水处理厂污水处理药剂投加种类、投加量等操作规范完整，企业已按工艺要求落实污染防治措施，污水处理设施正常运维、污染物处理工序落实到位的事实；</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15：2026年4月23日由李兵提供的额敏县城南污水处理厂向塔城地区生态环境局额敏县分局提交的超标数据报备情况说明，用于证实额敏县城南污水处理厂已知晓涉案时段出水水质超标事实，已履行环境异常报备义务，载明了超标原因、应急处置及整改措施，印证该厂水污染物超标排放的违法事实；</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16：2026年4月23日由李兵提供的额敏县城南污水处理厂巡检表，用于证实涉案期间该厂污水处理设施运行状态良好，各项环保设施均按规定运行，无擅自停运、闲置或故障情况，废水总排口（化学需氧量、总磷）超过排放许可限值排放的事实；</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17：2026年4月23日由李兵提供的额敏县城南污水处理厂2026年3月14日-31日化验室检测报告单，用于证实涉案时段厂区进水、出水各类污染物指标实际监测数值，对照法定及排污许可排放标准，佐证该厂出水污染物超标排放的事实；</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证据18：2026年4月23日由李兵提供的额敏县城南污水处理厂进水氨氮、COD，出水总磷、COD在线监测设备历史小时数据，用于证实涉案时段厂区进出水污染物实时浓度的客观事实；</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证据19：2026年5月7日由姚有亮提供的姚有亮身份证复印件，用于证实调查询问笔录（姚有亮）具有法律效力；</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20：2026年5月7日由姚有亮提供的新疆天玉源环保科技有限公司营业执照、环境污染治理设施运营服务能力等级资质证书一级，用于证实新疆天玉源环保科技有限公司具备污染源自动监控设施运维服务经营主体资格，运维单位主体合法；</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21：2026年5月7日由姚有亮提供的姚有亮自动监控（污废水）运行工证，用于证实新疆天玉源环保科技有限公司运维机构姚有亮具备相应从业资格和专业操作能力，对额敏县城南污水处理厂在线监测设备日常巡检、维护、校准等运维操作由持证人员规范开展，运维行为合法合规；</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22：2026年5月7日由姚有亮提供的2026年3月份水污染源自动监控设备运行维护日常巡检表，用于证实在线监测设备日常巡检、维护、保养工作记录情况，在线监控设施全程正常稳定运行，无擅自停运、故障失准等影响在线监测设备正常运行的情况发生，在线监测数据真实、准确、合法、有效；</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证据23：2026年5月7日由姚有亮提供的3月份额敏县城南污水处理厂水污染源自动监测仪校准记录表，用于证实在线监测数据准确、真实有效；</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证据24：2026年5月7日调查询问笔录一份（2026年5月7日 新疆天玉源环保科技有限公司 姚有亮），用于证实额敏县城南污水处理厂存在超过水污染物排放标准排放水污染物的违法行为的事实；</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证据25：2026年5月7日由李兵提供的于洋身份证复印件，用于证实调查询问笔录（于洋）具有法律效力；</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证据26：2026年5月7日调查询问笔录一份（2026年5月7日 额敏县城南污水处理厂 于洋），用于证实额敏县城南污水处理厂存在超过水污染物排放标准排放水污染物的违法行为的事实；</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证据27：国家统计局发布的统计上大中小微型企业划分办法（2017），用于证实额敏县城南污水处理厂的企业规模；</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证据28：2026年5月8日由李兵提供的额敏县城南污水处理厂职工名单，用于额敏县城南污水处理厂属于微型企业；</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证据29：2026年5月8日由李兵提供的额敏县城南污水处理厂进出水总量，用于证明额敏县城南污水处理厂水日排放量在2000吨以上不足5000吨；</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证据30：2026年5月8日由李兵提供的额敏县城南污水处理厂提标改造项目环境影响报告书21页，用于证明额敏县城南污水处理厂污水为工业污水与生活污水并存；</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证据31：2026年7月4日由李兵提供的额敏县城南污水处理厂2024年12月编制的突发环境事件应急预案，其中49页-52页证实额敏县城南污水处理厂无针对上游企业超标排放情况的应急处置措施；</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证据32：2026年5月19日由李兵提供的额敏县城南污水处理厂污染物超标排放问题整改报告，用于证实额敏县城南污水处理厂按要求完成整改工作；</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33：2026年7月22日由李兵提供的额敏县城南污水处理厂申请减轻行政处罚的申请书，用于证实额敏县城南污水处理厂认可污水超标违法事实，无主观排污故意；陈述企业生产工况、超标成因、整改落实全过程，体现主动消除污染隐患、整改态度积极；同时证实当事人全程配合环境</w:t>
      </w:r>
      <w:r>
        <w:rPr>
          <w:rFonts w:hint="eastAsia" w:hAnsi="宋体" w:cs="Times New Roman"/>
          <w:sz w:val="30"/>
          <w:szCs w:val="30"/>
          <w:u w:val="single"/>
          <w:lang w:val="en-US" w:eastAsia="zh-CN"/>
        </w:rPr>
        <w:t>执法检查</w:t>
      </w:r>
      <w:r>
        <w:rPr>
          <w:rFonts w:hint="eastAsia" w:ascii="仿宋_GB2312" w:hAnsi="宋体" w:eastAsia="仿宋_GB2312" w:cs="Times New Roman"/>
          <w:sz w:val="30"/>
          <w:szCs w:val="30"/>
          <w:u w:val="single"/>
          <w:lang w:val="en-US" w:eastAsia="zh-CN"/>
        </w:rPr>
        <w:t>、无前科环境违法记录，正式提出从轻、减轻行政处罚的诉求，作为裁量从轻处罚的书面事实依据。</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pPr>
      <w:r>
        <w:t>你单位的上述行为违反了</w:t>
      </w:r>
      <w:r>
        <w:rPr>
          <w:rFonts w:hint="eastAsia"/>
          <w:u w:val="single"/>
        </w:rPr>
        <w:t>《中华人民共和国水污染防治法》第十条“排放水污染物，不得超过国家或者地方规定的水污染物排放标准和重点水污染物排放总量控制指标”</w:t>
      </w:r>
      <w:r>
        <w:t>的规定。</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default" w:eastAsia="仿宋_GB2312"/>
          <w:u w:val="single"/>
          <w:lang w:val="en-US" w:eastAsia="zh-CN"/>
        </w:rPr>
      </w:pPr>
      <w:r>
        <w:rPr>
          <w:rFonts w:hint="eastAsia"/>
          <w:u w:val="single"/>
        </w:rPr>
        <w:t>我局</w:t>
      </w:r>
      <w:r>
        <w:rPr>
          <w:rFonts w:hint="eastAsia"/>
          <w:u w:val="single"/>
          <w:lang w:val="en-US" w:eastAsia="zh-CN"/>
        </w:rPr>
        <w:t>于2026</w:t>
      </w:r>
      <w:r>
        <w:rPr>
          <w:rFonts w:hint="eastAsia"/>
          <w:u w:val="single"/>
        </w:rPr>
        <w:t>年</w:t>
      </w:r>
      <w:r>
        <w:rPr>
          <w:rFonts w:hint="eastAsia"/>
          <w:u w:val="single"/>
          <w:lang w:val="en-US" w:eastAsia="zh-CN"/>
        </w:rPr>
        <w:t>8</w:t>
      </w:r>
      <w:r>
        <w:rPr>
          <w:rFonts w:hint="eastAsia"/>
          <w:u w:val="single"/>
        </w:rPr>
        <w:t>月</w:t>
      </w:r>
      <w:r>
        <w:rPr>
          <w:rFonts w:hint="eastAsia"/>
          <w:u w:val="single"/>
          <w:lang w:val="en-US" w:eastAsia="zh-CN"/>
        </w:rPr>
        <w:t>19</w:t>
      </w:r>
      <w:r>
        <w:rPr>
          <w:rFonts w:hint="eastAsia"/>
          <w:u w:val="single"/>
        </w:rPr>
        <w:t>日以《行政处罚事先告知书》（</w:t>
      </w:r>
      <w:r>
        <w:rPr>
          <w:rFonts w:hint="eastAsia"/>
          <w:u w:val="single"/>
          <w:lang w:val="en-US" w:eastAsia="zh-CN"/>
        </w:rPr>
        <w:t>塔地</w:t>
      </w:r>
      <w:r>
        <w:rPr>
          <w:rFonts w:hint="eastAsia"/>
          <w:u w:val="single"/>
        </w:rPr>
        <w:t>环</w:t>
      </w:r>
      <w:r>
        <w:rPr>
          <w:rFonts w:hint="eastAsia"/>
          <w:u w:val="single"/>
          <w:lang w:val="en-US" w:eastAsia="zh-CN"/>
        </w:rPr>
        <w:t>额</w:t>
      </w:r>
      <w:r>
        <w:rPr>
          <w:rFonts w:hint="eastAsia"/>
          <w:u w:val="single"/>
        </w:rPr>
        <w:t>罚告〔</w:t>
      </w:r>
      <w:r>
        <w:rPr>
          <w:rFonts w:hint="eastAsia"/>
          <w:u w:val="single"/>
          <w:lang w:val="en-US" w:eastAsia="zh-CN"/>
        </w:rPr>
        <w:t>2026</w:t>
      </w:r>
      <w:r>
        <w:rPr>
          <w:rFonts w:hint="eastAsia"/>
          <w:u w:val="single"/>
        </w:rPr>
        <w:t>〕</w:t>
      </w:r>
      <w:r>
        <w:rPr>
          <w:rFonts w:hint="eastAsia"/>
          <w:u w:val="single"/>
          <w:lang w:val="en-US" w:eastAsia="zh-CN"/>
        </w:rPr>
        <w:t>3</w:t>
      </w:r>
      <w:r>
        <w:rPr>
          <w:rFonts w:hint="eastAsia"/>
          <w:u w:val="single"/>
        </w:rPr>
        <w:t>号）告知你单位陈述申辩权（听证权）。</w:t>
      </w:r>
      <w:r>
        <w:rPr>
          <w:rFonts w:hint="eastAsia"/>
          <w:u w:val="single"/>
          <w:lang w:val="en-US" w:eastAsia="zh-CN"/>
        </w:rPr>
        <w:t>你单位法定期限内，未申请听证也未提出陈述申辩。</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u w:val="single"/>
        </w:rPr>
      </w:pPr>
      <w:r>
        <w:rPr>
          <w:rFonts w:hint="eastAsia" w:ascii="仿宋" w:hAnsi="仿宋" w:eastAsia="仿宋" w:cs="仿宋"/>
          <w:sz w:val="30"/>
          <w:szCs w:val="30"/>
        </w:rPr>
        <w:t>依据</w:t>
      </w:r>
      <w:r>
        <w:rPr>
          <w:rFonts w:hint="eastAsia" w:ascii="仿宋_GB2312" w:hAnsi="宋体" w:eastAsia="仿宋_GB2312" w:cs="Times New Roman"/>
          <w:sz w:val="30"/>
          <w:szCs w:val="30"/>
          <w:u w:val="single"/>
        </w:rPr>
        <w:t>《中华人民共和国水污染防治法》第八十三条第二项“违反本法规定，有下列行为之一的，由县级以上人民政府环境保护主管部门责令改正或者责令限制生产、停产整治，并处十万元以上一百万元以下的罚款；情节严重的，报经有批准权的人民政府批准，责令停业、关闭：(二)超过水污染物排放标准或者超过重点水污染物排放总量控制指标排放水污染物的”</w:t>
      </w:r>
      <w:r>
        <w:rPr>
          <w:rFonts w:hint="eastAsia" w:ascii="仿宋_GB2312" w:hAnsi="宋体" w:eastAsia="仿宋_GB2312"/>
          <w:sz w:val="30"/>
          <w:szCs w:val="30"/>
          <w:u w:val="none"/>
        </w:rPr>
        <w:t>的</w:t>
      </w:r>
      <w:r>
        <w:rPr>
          <w:rFonts w:hint="eastAsia" w:ascii="仿宋" w:hAnsi="仿宋" w:eastAsia="仿宋" w:cs="仿宋"/>
          <w:sz w:val="30"/>
          <w:szCs w:val="30"/>
        </w:rPr>
        <w:t>规定</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根据</w:t>
      </w:r>
      <w:r>
        <w:rPr>
          <w:rFonts w:hint="eastAsia" w:ascii="仿宋" w:hAnsi="仿宋" w:eastAsia="仿宋" w:cs="仿宋"/>
          <w:sz w:val="30"/>
          <w:szCs w:val="30"/>
          <w:u w:val="single"/>
          <w:lang w:val="en-US" w:eastAsia="zh-CN"/>
        </w:rPr>
        <w:t>《新疆维吾尔自治区 新疆生产建设兵团生态环境部门规范适用行政处罚裁量权实施办法》，在新疆维吾尔自治区生态环境处罚案件办理系统“裁量计算器”中针对违法行为输入以下裁量因子：1、个性裁量基准：（超标因子：2个）、（水日排放量（工业污水处理厂）：2000吨以上不足5000吨）、（持续时间 （以日均值数据计）：10天以上不足20天）、（废水类别：一般工业废水、医疗废水、畜禽养殖废水）。2、修正裁量基准：改正态度：立即改正。补救措施：采取补救措施，环境影响无法完全消除。经济承受度(企业类型）：微型企业。地区差异：四类地区裁量标准。裁量认定：情节较重，罚款，处罚款人民币叁拾贰万壹仟陆佰元整（321600元整），责令限期改正。根据《新疆维吾尔自治区新疆生产建设兵团生态环境部门规范适用行政处罚裁量权实施办法》的规定：“第九条【应当从轻或减轻行政处罚】，有下列情形之一的，应当依法从轻或者减轻行政处罚：(一)主动消除或者减轻生态环境违法行为危害后果的；各级生态环境部门通过“裁量计算器”对上述从轻情形进行裁量后，可以统筹考虑当地实际以及其它违法行为情节及后果，经集体审议研究决定下浮10%-30%执行，但处罚金额不得超过法定处罚金额下限。适用减轻情形的，应当采取审慎的原则，依据充分并经集体审议研究决定。”建议地区生态环境局充分考虑企业实际情况，在“裁量计算器”计算出裁量金额人民币321600元整的基础上下浮30%（按照计算为225120元整）。依据相关法律条款，违法行为罚款的下限为10万元，该金额未超过法定处罚金额下限，符合法律规定。</w:t>
      </w:r>
    </w:p>
    <w:p>
      <w:pPr>
        <w:pStyle w:val="3"/>
        <w:keepNext w:val="0"/>
        <w:keepLines w:val="0"/>
        <w:pageBreakBefore w:val="0"/>
        <w:widowControl w:val="0"/>
        <w:kinsoku/>
        <w:wordWrap/>
        <w:overflowPunct/>
        <w:topLinePunct w:val="0"/>
        <w:autoSpaceDE/>
        <w:autoSpaceDN/>
        <w:bidi w:val="0"/>
        <w:adjustRightInd/>
        <w:snapToGrid/>
        <w:spacing w:line="372" w:lineRule="auto"/>
        <w:ind w:left="351" w:leftChars="0" w:right="641" w:firstLine="555" w:firstLineChars="185"/>
        <w:textAlignment w:val="auto"/>
        <w:rPr>
          <w:rFonts w:hint="eastAsia" w:ascii="仿宋_GB2312" w:hAnsi="仿宋_GB2312" w:eastAsia="仿宋_GB2312" w:cs="仿宋_GB2312"/>
          <w:kern w:val="2"/>
          <w:sz w:val="30"/>
          <w:szCs w:val="30"/>
          <w:u w:val="single"/>
          <w:lang w:val="en-US" w:eastAsia="zh-CN" w:bidi="ar-SA"/>
        </w:rPr>
      </w:pPr>
      <w:r>
        <w:t>我局决定对你单位处以下行政处罚：</w:t>
      </w:r>
      <w:r>
        <w:rPr>
          <w:rFonts w:hint="eastAsia" w:cs="仿宋_GB2312"/>
          <w:kern w:val="2"/>
          <w:sz w:val="30"/>
          <w:szCs w:val="30"/>
          <w:u w:val="single"/>
          <w:lang w:val="en-US" w:eastAsia="zh-CN" w:bidi="ar-SA"/>
        </w:rPr>
        <w:t>针对</w:t>
      </w:r>
      <w:r>
        <w:rPr>
          <w:rFonts w:hint="eastAsia" w:ascii="仿宋_GB2312" w:hAnsi="仿宋_GB2312" w:eastAsia="仿宋_GB2312" w:cs="仿宋_GB2312"/>
          <w:kern w:val="2"/>
          <w:sz w:val="30"/>
          <w:szCs w:val="30"/>
          <w:u w:val="single"/>
          <w:lang w:val="en-US" w:eastAsia="zh-CN" w:bidi="ar-SA"/>
        </w:rPr>
        <w:t>你单位超过水污染物排放标准排放水污染物的行为处罚款人民币225120元整（贰拾贰万伍仟壹佰贰拾元整）。</w:t>
      </w:r>
    </w:p>
    <w:p>
      <w:pPr>
        <w:pStyle w:val="3"/>
        <w:keepNext w:val="0"/>
        <w:keepLines w:val="0"/>
        <w:pageBreakBefore w:val="0"/>
        <w:widowControl w:val="0"/>
        <w:kinsoku/>
        <w:wordWrap/>
        <w:overflowPunct/>
        <w:topLinePunct w:val="0"/>
        <w:autoSpaceDE/>
        <w:autoSpaceDN/>
        <w:bidi w:val="0"/>
        <w:adjustRightInd/>
        <w:snapToGrid/>
        <w:spacing w:line="365" w:lineRule="auto"/>
        <w:ind w:left="351" w:right="641" w:firstLine="601"/>
        <w:jc w:val="both"/>
        <w:textAlignment w:val="auto"/>
      </w:pPr>
      <w:r>
        <w:rPr>
          <w:spacing w:val="5"/>
        </w:rPr>
        <w:t>限于接到本处罚决定之日起十五日内到指定的银行或者通过电</w:t>
      </w:r>
      <w:r>
        <w:rPr>
          <w:spacing w:val="-8"/>
        </w:rPr>
        <w:t>子支付系统缴纳罚款。逾期不缴纳罚款的，我</w:t>
      </w:r>
      <w:r>
        <w:t>局</w:t>
      </w:r>
      <w:r>
        <w:rPr>
          <w:spacing w:val="-6"/>
        </w:rPr>
        <w:t>可以根据《中</w:t>
      </w:r>
      <w:r>
        <w:rPr>
          <w:spacing w:val="5"/>
        </w:rPr>
        <w:t>华人民共和国行政处罚法》第七十二条第一款第一项规定每日按罚</w:t>
      </w:r>
      <w:r>
        <w:t>款数额的百分之三加处罚款。</w:t>
      </w:r>
    </w:p>
    <w:p>
      <w:pPr>
        <w:pStyle w:val="3"/>
        <w:keepNext w:val="0"/>
        <w:keepLines w:val="0"/>
        <w:pageBreakBefore w:val="0"/>
        <w:widowControl w:val="0"/>
        <w:kinsoku/>
        <w:wordWrap/>
        <w:overflowPunct/>
        <w:topLinePunct w:val="0"/>
        <w:autoSpaceDE/>
        <w:autoSpaceDN/>
        <w:bidi w:val="0"/>
        <w:adjustRightInd/>
        <w:snapToGrid/>
        <w:spacing w:line="365" w:lineRule="auto"/>
        <w:ind w:left="351" w:right="641" w:firstLine="601"/>
        <w:jc w:val="both"/>
        <w:textAlignment w:val="auto"/>
        <w:rPr>
          <w:rFonts w:hint="default"/>
          <w:lang w:val="en-US" w:eastAsia="zh-CN"/>
        </w:rPr>
      </w:pPr>
      <w:r>
        <w:rPr>
          <w:rFonts w:hint="eastAsia"/>
          <w:lang w:val="en-US" w:eastAsia="zh-CN"/>
        </w:rPr>
        <w:t>收款银行：</w:t>
      </w:r>
      <w:r>
        <w:rPr>
          <w:rFonts w:hint="eastAsia"/>
          <w:u w:val="single"/>
          <w:lang w:val="en-US" w:eastAsia="zh-CN"/>
        </w:rPr>
        <w:t xml:space="preserve">中国农业银行塔城市文化路支行                    </w:t>
      </w:r>
    </w:p>
    <w:p>
      <w:pPr>
        <w:pStyle w:val="3"/>
        <w:keepNext w:val="0"/>
        <w:keepLines w:val="0"/>
        <w:pageBreakBefore w:val="0"/>
        <w:widowControl w:val="0"/>
        <w:kinsoku/>
        <w:wordWrap/>
        <w:overflowPunct/>
        <w:topLinePunct w:val="0"/>
        <w:autoSpaceDE/>
        <w:autoSpaceDN/>
        <w:bidi w:val="0"/>
        <w:adjustRightInd/>
        <w:snapToGrid/>
        <w:spacing w:line="365" w:lineRule="auto"/>
        <w:ind w:left="351" w:right="641" w:firstLine="601"/>
        <w:jc w:val="both"/>
        <w:textAlignment w:val="auto"/>
        <w:rPr>
          <w:rFonts w:hint="default"/>
          <w:lang w:val="en-US" w:eastAsia="zh-CN"/>
        </w:rPr>
      </w:pPr>
      <w:r>
        <w:rPr>
          <w:rFonts w:hint="eastAsia"/>
          <w:lang w:val="en-US" w:eastAsia="zh-CN"/>
        </w:rPr>
        <w:t>户名：</w:t>
      </w:r>
      <w:r>
        <w:rPr>
          <w:rFonts w:hint="eastAsia"/>
          <w:u w:val="single"/>
          <w:lang w:val="en-US" w:eastAsia="zh-CN"/>
        </w:rPr>
        <w:t xml:space="preserve">伊犁哈萨克自治州塔城地区财政局国库科                   </w:t>
      </w:r>
    </w:p>
    <w:p>
      <w:pPr>
        <w:pStyle w:val="3"/>
        <w:keepNext w:val="0"/>
        <w:keepLines w:val="0"/>
        <w:pageBreakBefore w:val="0"/>
        <w:widowControl w:val="0"/>
        <w:kinsoku/>
        <w:wordWrap/>
        <w:overflowPunct/>
        <w:topLinePunct w:val="0"/>
        <w:autoSpaceDE/>
        <w:autoSpaceDN/>
        <w:bidi w:val="0"/>
        <w:adjustRightInd/>
        <w:snapToGrid/>
        <w:spacing w:line="365" w:lineRule="auto"/>
        <w:ind w:left="351" w:right="641" w:firstLine="601"/>
        <w:jc w:val="both"/>
        <w:textAlignment w:val="auto"/>
        <w:rPr>
          <w:rFonts w:hint="default"/>
          <w:u w:val="single"/>
          <w:lang w:val="en-US" w:eastAsia="zh-CN"/>
        </w:rPr>
      </w:pPr>
      <w:r>
        <w:rPr>
          <w:rFonts w:hint="eastAsia"/>
          <w:lang w:val="en-US" w:eastAsia="zh-CN"/>
        </w:rPr>
        <w:t>账号：</w:t>
      </w:r>
      <w:r>
        <w:rPr>
          <w:rFonts w:hint="eastAsia"/>
          <w:u w:val="single"/>
          <w:lang w:val="en-US" w:eastAsia="zh-CN"/>
        </w:rPr>
        <w:t xml:space="preserve">30190201040000634                                      </w:t>
      </w:r>
    </w:p>
    <w:p>
      <w:pPr>
        <w:pStyle w:val="3"/>
        <w:keepNext w:val="0"/>
        <w:keepLines w:val="0"/>
        <w:pageBreakBefore w:val="0"/>
        <w:widowControl w:val="0"/>
        <w:kinsoku/>
        <w:wordWrap/>
        <w:overflowPunct/>
        <w:topLinePunct w:val="0"/>
        <w:autoSpaceDE/>
        <w:autoSpaceDN/>
        <w:bidi w:val="0"/>
        <w:adjustRightInd/>
        <w:snapToGrid/>
        <w:spacing w:line="365" w:lineRule="auto"/>
        <w:ind w:left="351" w:right="641" w:firstLine="601"/>
        <w:jc w:val="both"/>
        <w:textAlignment w:val="auto"/>
        <w:rPr>
          <w:rFonts w:hint="default"/>
          <w:lang w:val="en-US" w:eastAsia="zh-CN"/>
        </w:rPr>
      </w:pPr>
      <w:r>
        <w:rPr>
          <w:rFonts w:hint="eastAsia"/>
          <w:lang w:val="en-US" w:eastAsia="zh-CN"/>
        </w:rPr>
        <w:t>缴纳罚款时请在备注栏写：</w:t>
      </w:r>
      <w:r>
        <w:rPr>
          <w:rFonts w:hint="eastAsia"/>
          <w:u w:val="single"/>
          <w:lang w:val="en-US" w:eastAsia="zh-CN"/>
        </w:rPr>
        <w:t>塔城地区生态环境局额敏县分局罚没款。</w:t>
      </w:r>
    </w:p>
    <w:p>
      <w:pPr>
        <w:pStyle w:val="3"/>
        <w:keepNext w:val="0"/>
        <w:keepLines w:val="0"/>
        <w:pageBreakBefore w:val="0"/>
        <w:widowControl w:val="0"/>
        <w:kinsoku/>
        <w:wordWrap/>
        <w:overflowPunct/>
        <w:topLinePunct w:val="0"/>
        <w:autoSpaceDE/>
        <w:autoSpaceDN/>
        <w:bidi w:val="0"/>
        <w:adjustRightInd/>
        <w:snapToGrid/>
        <w:spacing w:line="364" w:lineRule="auto"/>
        <w:ind w:left="351" w:right="641" w:firstLine="600" w:firstLineChars="200"/>
        <w:textAlignment w:val="auto"/>
      </w:pPr>
      <w:r>
        <w:t>你单位如不服本处罚决定，可在收到本处罚决定书之日起六十日内向</w:t>
      </w:r>
      <w:r>
        <w:rPr>
          <w:rFonts w:hint="eastAsia"/>
          <w:u w:val="single"/>
          <w:lang w:val="en-US" w:eastAsia="zh-CN"/>
        </w:rPr>
        <w:t>塔城地区行政公署</w:t>
      </w:r>
      <w:r>
        <w:t>申请行政复议，也可以在六个月内向</w:t>
      </w:r>
      <w:r>
        <w:rPr>
          <w:rFonts w:hint="eastAsia"/>
          <w:u w:val="single"/>
          <w:lang w:val="en-US" w:eastAsia="zh-CN"/>
        </w:rPr>
        <w:t>乌鲁木齐铁路运输</w:t>
      </w:r>
      <w:r>
        <w:rPr>
          <w:u w:val="single"/>
        </w:rPr>
        <w:t>法院</w:t>
      </w:r>
      <w:r>
        <w:t>提起行政诉讼。申请行政复议或者提起行政诉讼，不停止行政处罚决定的执行。</w:t>
      </w:r>
    </w:p>
    <w:p>
      <w:pPr>
        <w:pStyle w:val="3"/>
        <w:keepNext w:val="0"/>
        <w:keepLines w:val="0"/>
        <w:pageBreakBefore w:val="0"/>
        <w:widowControl w:val="0"/>
        <w:kinsoku/>
        <w:wordWrap/>
        <w:overflowPunct/>
        <w:topLinePunct w:val="0"/>
        <w:autoSpaceDE/>
        <w:autoSpaceDN/>
        <w:bidi w:val="0"/>
        <w:adjustRightInd/>
        <w:snapToGrid/>
        <w:spacing w:line="364" w:lineRule="auto"/>
        <w:ind w:left="351" w:right="641" w:firstLine="600" w:firstLineChars="200"/>
        <w:textAlignment w:val="auto"/>
      </w:pPr>
      <w:r>
        <w:t>逾期不申请行政复议，不提起行政诉讼，又不履行本处罚决定的，我局将依法申请人民法院强制执行。</w:t>
      </w:r>
    </w:p>
    <w:p>
      <w:pPr>
        <w:adjustRightInd w:val="0"/>
        <w:snapToGrid w:val="0"/>
        <w:spacing w:line="360" w:lineRule="auto"/>
        <w:jc w:val="right"/>
        <w:rPr>
          <w:rFonts w:hint="eastAsia" w:ascii="仿宋_GB2312" w:hAnsi="宋体" w:eastAsia="仿宋_GB2312"/>
          <w:b/>
          <w:sz w:val="30"/>
          <w:szCs w:val="30"/>
        </w:rPr>
      </w:pPr>
    </w:p>
    <w:p>
      <w:pPr>
        <w:adjustRightInd w:val="0"/>
        <w:snapToGrid w:val="0"/>
        <w:spacing w:line="360" w:lineRule="auto"/>
        <w:jc w:val="right"/>
        <w:rPr>
          <w:rFonts w:hint="eastAsia" w:ascii="仿宋_GB2312" w:hAnsi="宋体" w:eastAsia="仿宋_GB2312"/>
          <w:b/>
          <w:sz w:val="30"/>
          <w:szCs w:val="30"/>
        </w:rPr>
      </w:pPr>
      <w:r>
        <w:rPr>
          <w:rFonts w:hint="eastAsia" w:ascii="仿宋_GB2312" w:hAnsi="宋体" w:eastAsia="仿宋_GB2312"/>
          <w:b/>
          <w:sz w:val="30"/>
          <w:szCs w:val="30"/>
        </w:rPr>
        <w:t xml:space="preserve">                            </w:t>
      </w:r>
    </w:p>
    <w:p>
      <w:pPr>
        <w:adjustRightInd w:val="0"/>
        <w:snapToGrid w:val="0"/>
        <w:spacing w:line="360" w:lineRule="auto"/>
        <w:ind w:firstLine="4819" w:firstLineChars="1600"/>
        <w:jc w:val="both"/>
        <w:rPr>
          <w:rFonts w:hint="eastAsia" w:ascii="仿宋_GB2312" w:hAnsi="宋体" w:eastAsia="仿宋_GB2312"/>
          <w:bCs/>
          <w:sz w:val="30"/>
          <w:szCs w:val="30"/>
        </w:rPr>
      </w:pPr>
      <w:r>
        <w:rPr>
          <w:rFonts w:hint="eastAsia" w:ascii="仿宋_GB2312" w:hAnsi="宋体" w:eastAsia="仿宋_GB2312"/>
          <w:b/>
          <w:sz w:val="30"/>
          <w:szCs w:val="30"/>
        </w:rPr>
        <w:t xml:space="preserve"> </w:t>
      </w:r>
      <w:r>
        <w:rPr>
          <w:rFonts w:hint="eastAsia" w:ascii="仿宋_GB2312" w:hAnsi="宋体" w:eastAsia="仿宋_GB2312"/>
          <w:bCs/>
          <w:sz w:val="30"/>
          <w:szCs w:val="30"/>
          <w:lang w:val="en-US" w:eastAsia="zh-CN"/>
        </w:rPr>
        <w:t>塔城地区</w:t>
      </w:r>
      <w:r>
        <w:rPr>
          <w:rFonts w:hint="eastAsia" w:ascii="仿宋_GB2312" w:hAnsi="宋体" w:eastAsia="仿宋_GB2312"/>
          <w:bCs/>
          <w:sz w:val="30"/>
          <w:szCs w:val="30"/>
        </w:rPr>
        <w:t>生态环境局（印章）</w:t>
      </w:r>
    </w:p>
    <w:p>
      <w:r>
        <w:rPr>
          <w:rFonts w:hint="eastAsia" w:ascii="仿宋_GB2312" w:hAnsi="宋体" w:eastAsia="仿宋_GB2312"/>
          <w:sz w:val="30"/>
          <w:szCs w:val="30"/>
        </w:rPr>
        <w:t xml:space="preserve">                                      年  月  日</w:t>
      </w:r>
      <w:bookmarkEnd w:id="0"/>
      <w:bookmarkEnd w:id="1"/>
    </w:p>
    <w:sectPr>
      <w:pgSz w:w="11906" w:h="16838"/>
      <w:pgMar w:top="1599" w:right="743" w:bottom="1440"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04EA3"/>
    <w:rsid w:val="03C5328B"/>
    <w:rsid w:val="064C0FFA"/>
    <w:rsid w:val="0658181F"/>
    <w:rsid w:val="0680683B"/>
    <w:rsid w:val="0776276A"/>
    <w:rsid w:val="08204893"/>
    <w:rsid w:val="0856564E"/>
    <w:rsid w:val="0A5E4142"/>
    <w:rsid w:val="0AE20644"/>
    <w:rsid w:val="0B550B0F"/>
    <w:rsid w:val="0B8E7D66"/>
    <w:rsid w:val="0BF41F06"/>
    <w:rsid w:val="0C6E3759"/>
    <w:rsid w:val="0D030681"/>
    <w:rsid w:val="0D4002A7"/>
    <w:rsid w:val="0D8D4779"/>
    <w:rsid w:val="0DE0138C"/>
    <w:rsid w:val="0E1D44C0"/>
    <w:rsid w:val="0E354C55"/>
    <w:rsid w:val="0F157098"/>
    <w:rsid w:val="0FA80580"/>
    <w:rsid w:val="0FD03043"/>
    <w:rsid w:val="110B4996"/>
    <w:rsid w:val="11265F68"/>
    <w:rsid w:val="114F1320"/>
    <w:rsid w:val="114F703B"/>
    <w:rsid w:val="121D1A98"/>
    <w:rsid w:val="13E850BC"/>
    <w:rsid w:val="13F2252B"/>
    <w:rsid w:val="15B17864"/>
    <w:rsid w:val="16264708"/>
    <w:rsid w:val="175E7186"/>
    <w:rsid w:val="1964413C"/>
    <w:rsid w:val="196F7429"/>
    <w:rsid w:val="197E65D9"/>
    <w:rsid w:val="1A255CCC"/>
    <w:rsid w:val="1A346C1E"/>
    <w:rsid w:val="1A3A7A37"/>
    <w:rsid w:val="1AB64489"/>
    <w:rsid w:val="1ADD6614"/>
    <w:rsid w:val="1B360127"/>
    <w:rsid w:val="1E3D1F8F"/>
    <w:rsid w:val="1E860D4B"/>
    <w:rsid w:val="1F8567B4"/>
    <w:rsid w:val="20C938C2"/>
    <w:rsid w:val="224C47AB"/>
    <w:rsid w:val="22FE5379"/>
    <w:rsid w:val="240B0F93"/>
    <w:rsid w:val="24937387"/>
    <w:rsid w:val="249D04FE"/>
    <w:rsid w:val="25187BB4"/>
    <w:rsid w:val="25311A36"/>
    <w:rsid w:val="27277649"/>
    <w:rsid w:val="273F255F"/>
    <w:rsid w:val="279135A5"/>
    <w:rsid w:val="28137B19"/>
    <w:rsid w:val="285F5AEA"/>
    <w:rsid w:val="2A7630B7"/>
    <w:rsid w:val="2A933C0B"/>
    <w:rsid w:val="2BA676D7"/>
    <w:rsid w:val="2ECF3F70"/>
    <w:rsid w:val="2F1750CC"/>
    <w:rsid w:val="2F6916BD"/>
    <w:rsid w:val="2F775E8C"/>
    <w:rsid w:val="301C571D"/>
    <w:rsid w:val="30562C99"/>
    <w:rsid w:val="30DA4C36"/>
    <w:rsid w:val="312968A9"/>
    <w:rsid w:val="32A4518F"/>
    <w:rsid w:val="32C51A10"/>
    <w:rsid w:val="33277499"/>
    <w:rsid w:val="345715D9"/>
    <w:rsid w:val="35A15467"/>
    <w:rsid w:val="35D775AB"/>
    <w:rsid w:val="35E825E5"/>
    <w:rsid w:val="36203B2D"/>
    <w:rsid w:val="37943E0C"/>
    <w:rsid w:val="37CC1165"/>
    <w:rsid w:val="38043ABB"/>
    <w:rsid w:val="3B1D47A5"/>
    <w:rsid w:val="3BDC6DDE"/>
    <w:rsid w:val="3C7E15AD"/>
    <w:rsid w:val="3CBE5E4E"/>
    <w:rsid w:val="3DE9514C"/>
    <w:rsid w:val="413D2055"/>
    <w:rsid w:val="413D6DCF"/>
    <w:rsid w:val="433B1E2A"/>
    <w:rsid w:val="44BF1CC9"/>
    <w:rsid w:val="46144678"/>
    <w:rsid w:val="479F062A"/>
    <w:rsid w:val="48F7710F"/>
    <w:rsid w:val="49F446CD"/>
    <w:rsid w:val="4A053998"/>
    <w:rsid w:val="4AF33166"/>
    <w:rsid w:val="4B46598C"/>
    <w:rsid w:val="4CB0659C"/>
    <w:rsid w:val="4D8E361A"/>
    <w:rsid w:val="4D974380"/>
    <w:rsid w:val="4E21623C"/>
    <w:rsid w:val="4E24470E"/>
    <w:rsid w:val="5079410E"/>
    <w:rsid w:val="508D5E0B"/>
    <w:rsid w:val="50924FD9"/>
    <w:rsid w:val="509C4EC7"/>
    <w:rsid w:val="50D76C9A"/>
    <w:rsid w:val="527A416D"/>
    <w:rsid w:val="52E71802"/>
    <w:rsid w:val="52E9540A"/>
    <w:rsid w:val="53007443"/>
    <w:rsid w:val="53513EE3"/>
    <w:rsid w:val="541B7F5F"/>
    <w:rsid w:val="546E01B9"/>
    <w:rsid w:val="548E39E5"/>
    <w:rsid w:val="55A35789"/>
    <w:rsid w:val="55D537CD"/>
    <w:rsid w:val="561B7A15"/>
    <w:rsid w:val="566E3FE9"/>
    <w:rsid w:val="568B3077"/>
    <w:rsid w:val="56981066"/>
    <w:rsid w:val="571C0482"/>
    <w:rsid w:val="5744628F"/>
    <w:rsid w:val="57757D1E"/>
    <w:rsid w:val="58601CE7"/>
    <w:rsid w:val="59127D64"/>
    <w:rsid w:val="59C77C98"/>
    <w:rsid w:val="5A3A6A35"/>
    <w:rsid w:val="5B08233D"/>
    <w:rsid w:val="5B55716B"/>
    <w:rsid w:val="5B8F1D95"/>
    <w:rsid w:val="5BF7509C"/>
    <w:rsid w:val="5CA91105"/>
    <w:rsid w:val="5F6B42B4"/>
    <w:rsid w:val="5FAC75E2"/>
    <w:rsid w:val="5FCC2AA9"/>
    <w:rsid w:val="60655BC8"/>
    <w:rsid w:val="60AC408B"/>
    <w:rsid w:val="612F352D"/>
    <w:rsid w:val="61C6117D"/>
    <w:rsid w:val="634A7AE7"/>
    <w:rsid w:val="63CE60C7"/>
    <w:rsid w:val="64850E7B"/>
    <w:rsid w:val="64B3472D"/>
    <w:rsid w:val="64D77620"/>
    <w:rsid w:val="65916789"/>
    <w:rsid w:val="66B45A48"/>
    <w:rsid w:val="67A7752D"/>
    <w:rsid w:val="680A67EF"/>
    <w:rsid w:val="68AE7D97"/>
    <w:rsid w:val="68E50428"/>
    <w:rsid w:val="691722BE"/>
    <w:rsid w:val="69934565"/>
    <w:rsid w:val="6CF6770E"/>
    <w:rsid w:val="6E3044BF"/>
    <w:rsid w:val="6E8B6E9E"/>
    <w:rsid w:val="6EA502BE"/>
    <w:rsid w:val="70D56CE6"/>
    <w:rsid w:val="70EA4A25"/>
    <w:rsid w:val="71D25292"/>
    <w:rsid w:val="725956F5"/>
    <w:rsid w:val="746E7D9F"/>
    <w:rsid w:val="75ED062E"/>
    <w:rsid w:val="76090356"/>
    <w:rsid w:val="76686E90"/>
    <w:rsid w:val="77346781"/>
    <w:rsid w:val="777368EB"/>
    <w:rsid w:val="781F4AE1"/>
    <w:rsid w:val="79175D08"/>
    <w:rsid w:val="791A3E30"/>
    <w:rsid w:val="7A0643B5"/>
    <w:rsid w:val="7AB81A37"/>
    <w:rsid w:val="7C181B0B"/>
    <w:rsid w:val="7CB94DEA"/>
    <w:rsid w:val="7CF65E57"/>
    <w:rsid w:val="7CF72961"/>
    <w:rsid w:val="7D3656D4"/>
    <w:rsid w:val="7D8E6B9B"/>
    <w:rsid w:val="7F8F1EB3"/>
    <w:rsid w:val="7FBB6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table of authorities"/>
    <w:basedOn w:val="1"/>
    <w:next w:val="1"/>
    <w:qFormat/>
    <w:uiPriority w:val="0"/>
    <w:pPr>
      <w:spacing w:line="240" w:lineRule="auto"/>
      <w:ind w:left="0" w:leftChars="0" w:firstLine="0" w:firstLineChars="0"/>
      <w:jc w:val="left"/>
    </w:pPr>
    <w:rPr>
      <w:rFonts w:ascii="仿宋" w:hAnsi="仿宋" w:eastAsia="仿宋" w:cs="仿宋"/>
      <w:sz w:val="18"/>
      <w:szCs w:val="18"/>
    </w:rPr>
  </w:style>
  <w:style w:type="paragraph" w:styleId="3">
    <w:name w:val="Body Text"/>
    <w:basedOn w:val="1"/>
    <w:qFormat/>
    <w:uiPriority w:val="1"/>
    <w:rPr>
      <w:rFonts w:ascii="仿宋_GB2312" w:hAnsi="仿宋_GB2312" w:eastAsia="仿宋_GB2312" w:cs="仿宋_GB2312"/>
      <w:sz w:val="30"/>
      <w:szCs w:val="30"/>
    </w:rPr>
  </w:style>
  <w:style w:type="paragraph" w:styleId="6">
    <w:name w:val="List Paragraph"/>
    <w:basedOn w:val="1"/>
    <w:qFormat/>
    <w:uiPriority w:val="1"/>
    <w:pPr>
      <w:spacing w:before="180"/>
      <w:ind w:left="1530" w:hanging="591"/>
    </w:pPr>
    <w:rPr>
      <w:rFonts w:ascii="仿宋_GB2312" w:hAnsi="仿宋_GB2312" w:eastAsia="仿宋_GB2312" w:cs="仿宋_GB231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4601</Words>
  <Characters>4931</Characters>
  <Lines>0</Lines>
  <Paragraphs>0</Paragraphs>
  <TotalTime>4</TotalTime>
  <ScaleCrop>false</ScaleCrop>
  <LinksUpToDate>false</LinksUpToDate>
  <CharactersWithSpaces>5208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dc:creator>
  <cp:lastModifiedBy>Administrator</cp:lastModifiedBy>
  <dcterms:modified xsi:type="dcterms:W3CDTF">2026-08-31T04:55:37Z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TemplateDocerSaveRecord">
    <vt:lpwstr>eyJoZGlkIjoiODhjN2I3OGFhNzBkZDc0YWUwMjZkNTZmYjIxNzc3NWYiLCJ1c2VySWQiOiIxNzQ3MDI1OTEwIn0=</vt:lpwstr>
  </property>
  <property fmtid="{D5CDD505-2E9C-101B-9397-08002B2CF9AE}" pid="4" name="ICV">
    <vt:lpwstr>E7297DF331D6432694BD719DB08847B1_12</vt:lpwstr>
  </property>
</Properties>
</file>