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hint="default" w:ascii="华文中宋" w:hAnsi="华文中宋" w:eastAsia="华文中宋" w:cs="华文中宋"/>
          <w:kern w:val="0"/>
          <w:sz w:val="36"/>
          <w:szCs w:val="36"/>
          <w:lang w:val="en-US" w:eastAsia="zh-CN"/>
        </w:rPr>
      </w:pPr>
      <w:bookmarkStart w:id="0" w:name="OLE_LINK5"/>
      <w:bookmarkStart w:id="1" w:name="OLE_LINK2"/>
      <w:bookmarkStart w:id="2" w:name="OLE_LINK4"/>
      <w:bookmarkStart w:id="3" w:name="OLE_LINK1"/>
      <w:r>
        <w:rPr>
          <w:rFonts w:hint="eastAsia" w:ascii="华文中宋" w:hAnsi="华文中宋" w:eastAsia="华文中宋" w:cs="华文中宋"/>
          <w:b/>
          <w:bCs/>
          <w:kern w:val="0"/>
          <w:sz w:val="36"/>
          <w:szCs w:val="36"/>
        </w:rPr>
        <w:t>额敏县</w:t>
      </w:r>
      <w:r>
        <w:rPr>
          <w:rFonts w:hint="eastAsia" w:ascii="华文中宋" w:hAnsi="华文中宋" w:eastAsia="华文中宋" w:cs="华文中宋"/>
          <w:b/>
          <w:bCs/>
          <w:kern w:val="0"/>
          <w:sz w:val="36"/>
          <w:szCs w:val="36"/>
          <w:lang w:val="en-US" w:eastAsia="zh-CN"/>
        </w:rPr>
        <w:t>交通运输</w:t>
      </w:r>
      <w:r>
        <w:rPr>
          <w:rFonts w:hint="eastAsia" w:ascii="华文中宋" w:hAnsi="华文中宋" w:eastAsia="华文中宋" w:cs="华文中宋"/>
          <w:b/>
          <w:bCs/>
          <w:kern w:val="0"/>
          <w:sz w:val="36"/>
          <w:szCs w:val="36"/>
        </w:rPr>
        <w:t>局行政处罚案件公示</w:t>
      </w:r>
      <w:r>
        <w:rPr>
          <w:rFonts w:hint="eastAsia" w:ascii="华文中宋" w:hAnsi="华文中宋" w:eastAsia="华文中宋" w:cs="华文中宋"/>
          <w:b/>
          <w:bCs/>
          <w:kern w:val="0"/>
          <w:sz w:val="36"/>
          <w:szCs w:val="36"/>
          <w:lang w:eastAsia="zh-CN"/>
        </w:rPr>
        <w:t>【</w:t>
      </w:r>
      <w:r>
        <w:rPr>
          <w:rFonts w:hint="eastAsia" w:ascii="华文中宋" w:hAnsi="华文中宋" w:eastAsia="华文中宋" w:cs="华文中宋"/>
          <w:b/>
          <w:bCs/>
          <w:kern w:val="0"/>
          <w:sz w:val="36"/>
          <w:szCs w:val="36"/>
          <w:lang w:val="en-US" w:eastAsia="zh-CN"/>
        </w:rPr>
        <w:t>2026</w:t>
      </w:r>
      <w:r>
        <w:rPr>
          <w:rFonts w:hint="eastAsia" w:ascii="华文中宋" w:hAnsi="华文中宋" w:eastAsia="华文中宋" w:cs="华文中宋"/>
          <w:b/>
          <w:bCs/>
          <w:kern w:val="0"/>
          <w:sz w:val="36"/>
          <w:szCs w:val="36"/>
          <w:lang w:eastAsia="zh-CN"/>
        </w:rPr>
        <w:t>】</w:t>
      </w:r>
      <w:r>
        <w:rPr>
          <w:rFonts w:hint="eastAsia" w:ascii="华文中宋" w:hAnsi="华文中宋" w:eastAsia="华文中宋" w:cs="华文中宋"/>
          <w:b/>
          <w:bCs/>
          <w:kern w:val="0"/>
          <w:sz w:val="36"/>
          <w:szCs w:val="36"/>
          <w:lang w:val="en-US" w:eastAsia="zh-CN"/>
        </w:rPr>
        <w:t>24号</w:t>
      </w:r>
      <w:bookmarkEnd w:id="0"/>
    </w:p>
    <w:bookmarkEnd w:id="1"/>
    <w:p>
      <w:pPr>
        <w:widowControl/>
        <w:jc w:val="center"/>
        <w:rPr>
          <w:rFonts w:hint="default" w:ascii="方正小标宋简体" w:hAnsi="宋体" w:eastAsia="宋体" w:cs="宋体"/>
          <w:kern w:val="0"/>
          <w:sz w:val="32"/>
          <w:szCs w:val="32"/>
          <w:lang w:val="en-US" w:eastAsia="zh-CN"/>
        </w:rPr>
      </w:pPr>
      <w:r>
        <w:rPr>
          <w:rFonts w:hint="eastAsia" w:ascii="宋体" w:hAnsi="宋体" w:cs="宋体"/>
          <w:b/>
          <w:bCs/>
          <w:kern w:val="0"/>
          <w:sz w:val="32"/>
          <w:szCs w:val="32"/>
          <w:lang w:val="en-US" w:eastAsia="zh-CN"/>
        </w:rPr>
        <w:t>2026</w:t>
      </w:r>
      <w:bookmarkStart w:id="5" w:name="_GoBack"/>
      <w:bookmarkEnd w:id="5"/>
      <w:r>
        <w:rPr>
          <w:rFonts w:hint="eastAsia" w:ascii="宋体" w:hAnsi="宋体" w:cs="宋体"/>
          <w:b/>
          <w:bCs/>
          <w:kern w:val="0"/>
          <w:sz w:val="32"/>
          <w:szCs w:val="32"/>
          <w:lang w:val="en-US" w:eastAsia="zh-CN"/>
        </w:rPr>
        <w:t>年8</w:t>
      </w:r>
      <w:r>
        <w:rPr>
          <w:rFonts w:hint="eastAsia" w:ascii="宋体" w:hAnsi="宋体" w:cs="宋体"/>
          <w:b/>
          <w:bCs/>
          <w:kern w:val="0"/>
          <w:sz w:val="32"/>
          <w:szCs w:val="32"/>
        </w:rPr>
        <w:t>月</w:t>
      </w:r>
      <w:r>
        <w:rPr>
          <w:rFonts w:hint="eastAsia" w:ascii="宋体" w:hAnsi="宋体" w:cs="宋体"/>
          <w:b/>
          <w:bCs/>
          <w:kern w:val="0"/>
          <w:sz w:val="32"/>
          <w:szCs w:val="32"/>
          <w:lang w:val="en-US" w:eastAsia="zh-CN"/>
        </w:rPr>
        <w:t>13日至2026年8月20日</w:t>
      </w:r>
    </w:p>
    <w:p>
      <w:pPr>
        <w:widowControl/>
        <w:ind w:right="960"/>
        <w:rPr>
          <w:rFonts w:hint="default" w:ascii="宋体" w:hAnsi="宋体" w:eastAsia="宋体" w:cs="宋体"/>
          <w:kern w:val="0"/>
          <w:sz w:val="28"/>
          <w:szCs w:val="28"/>
          <w:lang w:val="en-US" w:eastAsia="zh-CN"/>
        </w:rPr>
      </w:pPr>
      <w:r>
        <w:rPr>
          <w:rFonts w:ascii="宋体" w:hAnsi="宋体" w:cs="宋体"/>
          <w:kern w:val="0"/>
          <w:sz w:val="28"/>
          <w:szCs w:val="28"/>
        </w:rPr>
        <w:t>填报单位：</w:t>
      </w:r>
      <w:bookmarkStart w:id="4" w:name="OLE_LINK3"/>
      <w:r>
        <w:rPr>
          <w:rFonts w:hint="eastAsia" w:ascii="宋体" w:hAnsi="宋体" w:cs="宋体"/>
          <w:kern w:val="0"/>
          <w:sz w:val="28"/>
          <w:szCs w:val="28"/>
        </w:rPr>
        <w:t>额</w:t>
      </w:r>
      <w:r>
        <w:rPr>
          <w:rFonts w:ascii="宋体" w:hAnsi="宋体" w:cs="宋体"/>
          <w:kern w:val="0"/>
          <w:sz w:val="28"/>
          <w:szCs w:val="28"/>
        </w:rPr>
        <w:t>敏县</w:t>
      </w:r>
      <w:r>
        <w:rPr>
          <w:rFonts w:hint="eastAsia" w:ascii="宋体" w:hAnsi="宋体" w:cs="宋体"/>
          <w:kern w:val="0"/>
          <w:sz w:val="28"/>
          <w:szCs w:val="28"/>
          <w:lang w:val="en-US" w:eastAsia="zh-CN"/>
        </w:rPr>
        <w:t>交通运输局</w:t>
      </w:r>
      <w:bookmarkEnd w:id="4"/>
      <w:r>
        <w:rPr>
          <w:rFonts w:hint="eastAsia" w:ascii="宋体" w:hAnsi="宋体" w:cs="宋体"/>
          <w:kern w:val="0"/>
          <w:sz w:val="28"/>
          <w:szCs w:val="28"/>
        </w:rPr>
        <w:t xml:space="preserve">                </w:t>
      </w:r>
      <w:r>
        <w:rPr>
          <w:rFonts w:hint="eastAsia" w:ascii="宋体" w:hAnsi="宋体" w:cs="宋体"/>
          <w:kern w:val="0"/>
          <w:sz w:val="28"/>
          <w:szCs w:val="28"/>
          <w:lang w:val="en-US" w:eastAsia="zh-CN"/>
        </w:rPr>
        <w:t xml:space="preserve">                       </w:t>
      </w:r>
      <w:r>
        <w:rPr>
          <w:rFonts w:ascii="宋体" w:hAnsi="宋体" w:cs="宋体"/>
          <w:kern w:val="0"/>
          <w:sz w:val="28"/>
          <w:szCs w:val="28"/>
        </w:rPr>
        <w:t>填报日期：</w:t>
      </w:r>
      <w:r>
        <w:rPr>
          <w:rFonts w:hint="eastAsia" w:ascii="宋体" w:hAnsi="宋体" w:cs="宋体"/>
          <w:kern w:val="0"/>
          <w:sz w:val="28"/>
          <w:szCs w:val="28"/>
          <w:lang w:val="en-US" w:eastAsia="zh-CN"/>
        </w:rPr>
        <w:t>2026年8月20日</w:t>
      </w:r>
    </w:p>
    <w:tbl>
      <w:tblPr>
        <w:tblStyle w:val="2"/>
        <w:tblW w:w="13890" w:type="dxa"/>
        <w:tblCellSpacing w:w="0" w:type="dxa"/>
        <w:tblInd w:w="0" w:type="dxa"/>
        <w:tblBorders>
          <w:top w:val="none" w:color="auto" w:sz="0" w:space="0"/>
          <w:left w:val="outset" w:color="auto" w:sz="6" w:space="0"/>
          <w:bottom w:val="outset" w:color="auto" w:sz="6" w:space="0"/>
          <w:right w:val="outset" w:color="auto" w:sz="6" w:space="0"/>
          <w:insideH w:val="none" w:color="auto" w:sz="0" w:space="0"/>
          <w:insideV w:val="outset" w:color="auto" w:sz="6" w:space="0"/>
        </w:tblBorders>
        <w:tblLayout w:type="fixed"/>
        <w:tblCellMar>
          <w:top w:w="0" w:type="dxa"/>
          <w:left w:w="0" w:type="dxa"/>
          <w:bottom w:w="0" w:type="dxa"/>
          <w:right w:w="0" w:type="dxa"/>
        </w:tblCellMar>
      </w:tblPr>
      <w:tblGrid>
        <w:gridCol w:w="899"/>
        <w:gridCol w:w="491"/>
        <w:gridCol w:w="1299"/>
        <w:gridCol w:w="2482"/>
        <w:gridCol w:w="3488"/>
        <w:gridCol w:w="945"/>
        <w:gridCol w:w="1245"/>
        <w:gridCol w:w="3041"/>
      </w:tblGrid>
      <w:tr>
        <w:tblPrEx>
          <w:tblBorders>
            <w:top w:val="none" w:color="auto" w:sz="0" w:space="0"/>
            <w:left w:val="outset" w:color="auto" w:sz="6" w:space="0"/>
            <w:bottom w:val="outset" w:color="auto" w:sz="6" w:space="0"/>
            <w:right w:val="outset" w:color="auto" w:sz="6" w:space="0"/>
            <w:insideH w:val="none" w:color="auto" w:sz="0" w:space="0"/>
            <w:insideV w:val="outset" w:color="auto" w:sz="6" w:space="0"/>
          </w:tblBorders>
          <w:tblLayout w:type="fixed"/>
          <w:tblCellMar>
            <w:top w:w="0" w:type="dxa"/>
            <w:left w:w="0" w:type="dxa"/>
            <w:bottom w:w="0" w:type="dxa"/>
            <w:right w:w="0" w:type="dxa"/>
          </w:tblCellMar>
        </w:tblPrEx>
        <w:trPr>
          <w:cantSplit/>
          <w:trHeight w:val="936" w:hRule="atLeast"/>
          <w:tblCellSpacing w:w="0" w:type="dxa"/>
        </w:trPr>
        <w:tc>
          <w:tcPr>
            <w:tcW w:w="899" w:type="dxa"/>
            <w:tcBorders>
              <w:top w:val="outset" w:color="auto" w:sz="6" w:space="0"/>
              <w:bottom w:val="outset" w:color="auto" w:sz="6" w:space="0"/>
            </w:tcBorders>
            <w:noWrap w:val="0"/>
            <w:vAlign w:val="center"/>
          </w:tcPr>
          <w:p>
            <w:pPr>
              <w:widowControl/>
              <w:jc w:val="center"/>
              <w:rPr>
                <w:rFonts w:ascii="宋体" w:hAnsi="宋体" w:cs="宋体"/>
                <w:kern w:val="0"/>
                <w:sz w:val="24"/>
                <w:szCs w:val="24"/>
              </w:rPr>
            </w:pPr>
            <w:r>
              <w:rPr>
                <w:rFonts w:hint="eastAsia" w:ascii="宋体" w:hAnsi="宋体" w:cs="宋体"/>
                <w:kern w:val="0"/>
                <w:sz w:val="24"/>
                <w:szCs w:val="24"/>
              </w:rPr>
              <w:t>处罚案件总数（个）</w:t>
            </w:r>
          </w:p>
        </w:tc>
        <w:tc>
          <w:tcPr>
            <w:tcW w:w="491" w:type="dxa"/>
            <w:tcBorders>
              <w:top w:val="outset" w:color="auto" w:sz="6" w:space="0"/>
              <w:bottom w:val="outset" w:color="auto" w:sz="6" w:space="0"/>
            </w:tcBorders>
            <w:noWrap w:val="0"/>
            <w:vAlign w:val="center"/>
          </w:tcPr>
          <w:p>
            <w:pPr>
              <w:widowControl/>
              <w:jc w:val="center"/>
              <w:rPr>
                <w:rFonts w:ascii="宋体" w:hAnsi="宋体" w:cs="宋体"/>
                <w:kern w:val="0"/>
                <w:sz w:val="24"/>
                <w:szCs w:val="24"/>
              </w:rPr>
            </w:pPr>
            <w:r>
              <w:rPr>
                <w:rFonts w:hint="eastAsia" w:ascii="宋体" w:hAnsi="宋体" w:cs="宋体"/>
                <w:kern w:val="0"/>
                <w:sz w:val="24"/>
                <w:szCs w:val="24"/>
              </w:rPr>
              <w:t>序号</w:t>
            </w:r>
          </w:p>
        </w:tc>
        <w:tc>
          <w:tcPr>
            <w:tcW w:w="1299" w:type="dxa"/>
            <w:tcBorders>
              <w:top w:val="outset" w:color="auto" w:sz="6" w:space="0"/>
              <w:bottom w:val="outset" w:color="auto" w:sz="6" w:space="0"/>
            </w:tcBorders>
            <w:noWrap w:val="0"/>
            <w:vAlign w:val="center"/>
          </w:tcPr>
          <w:p>
            <w:pPr>
              <w:widowControl/>
              <w:jc w:val="center"/>
              <w:rPr>
                <w:rFonts w:ascii="宋体" w:hAnsi="宋体" w:cs="宋体"/>
                <w:kern w:val="0"/>
                <w:sz w:val="24"/>
                <w:szCs w:val="24"/>
              </w:rPr>
            </w:pPr>
            <w:r>
              <w:rPr>
                <w:rFonts w:hint="eastAsia" w:ascii="宋体" w:hAnsi="宋体" w:cs="宋体"/>
                <w:kern w:val="0"/>
                <w:sz w:val="24"/>
                <w:szCs w:val="24"/>
              </w:rPr>
              <w:t>处罚时间</w:t>
            </w:r>
          </w:p>
        </w:tc>
        <w:tc>
          <w:tcPr>
            <w:tcW w:w="2482" w:type="dxa"/>
            <w:tcBorders>
              <w:top w:val="outset" w:color="auto" w:sz="6" w:space="0"/>
              <w:bottom w:val="outset" w:color="auto" w:sz="6" w:space="0"/>
            </w:tcBorders>
            <w:noWrap w:val="0"/>
            <w:vAlign w:val="center"/>
          </w:tcPr>
          <w:p>
            <w:pPr>
              <w:widowControl/>
              <w:jc w:val="center"/>
              <w:rPr>
                <w:rFonts w:ascii="宋体" w:hAnsi="宋体" w:cs="宋体"/>
                <w:kern w:val="0"/>
                <w:sz w:val="24"/>
                <w:szCs w:val="24"/>
              </w:rPr>
            </w:pPr>
            <w:r>
              <w:rPr>
                <w:rFonts w:hint="eastAsia" w:ascii="宋体" w:hAnsi="宋体" w:cs="宋体"/>
                <w:kern w:val="0"/>
                <w:sz w:val="24"/>
                <w:szCs w:val="24"/>
              </w:rPr>
              <w:t>车属单位</w:t>
            </w:r>
          </w:p>
        </w:tc>
        <w:tc>
          <w:tcPr>
            <w:tcW w:w="3488" w:type="dxa"/>
            <w:tcBorders>
              <w:top w:val="outset" w:color="auto" w:sz="6" w:space="0"/>
              <w:bottom w:val="outset" w:color="auto" w:sz="6" w:space="0"/>
            </w:tcBorders>
            <w:noWrap w:val="0"/>
            <w:vAlign w:val="center"/>
          </w:tcPr>
          <w:p>
            <w:pPr>
              <w:widowControl/>
              <w:jc w:val="center"/>
              <w:rPr>
                <w:rFonts w:ascii="宋体" w:hAnsi="宋体" w:cs="宋体"/>
                <w:kern w:val="0"/>
                <w:sz w:val="24"/>
                <w:szCs w:val="24"/>
              </w:rPr>
            </w:pPr>
            <w:r>
              <w:rPr>
                <w:rFonts w:hint="eastAsia" w:ascii="宋体" w:hAnsi="宋体" w:cs="宋体"/>
                <w:kern w:val="0"/>
                <w:sz w:val="24"/>
                <w:szCs w:val="24"/>
              </w:rPr>
              <w:t>违法事由</w:t>
            </w:r>
          </w:p>
        </w:tc>
        <w:tc>
          <w:tcPr>
            <w:tcW w:w="945" w:type="dxa"/>
            <w:tcBorders>
              <w:top w:val="outset" w:color="auto" w:sz="6" w:space="0"/>
              <w:bottom w:val="outset" w:color="auto" w:sz="6" w:space="0"/>
            </w:tcBorders>
            <w:noWrap w:val="0"/>
            <w:vAlign w:val="center"/>
          </w:tcPr>
          <w:p>
            <w:pPr>
              <w:widowControl/>
              <w:jc w:val="center"/>
              <w:rPr>
                <w:rFonts w:ascii="宋体" w:hAnsi="宋体" w:cs="宋体"/>
                <w:kern w:val="0"/>
                <w:sz w:val="24"/>
                <w:szCs w:val="24"/>
              </w:rPr>
            </w:pPr>
            <w:r>
              <w:rPr>
                <w:rFonts w:hint="eastAsia" w:ascii="宋体" w:hAnsi="宋体" w:cs="宋体"/>
                <w:kern w:val="0"/>
                <w:sz w:val="24"/>
                <w:szCs w:val="24"/>
              </w:rPr>
              <w:t>是否采取强制措施</w:t>
            </w:r>
          </w:p>
        </w:tc>
        <w:tc>
          <w:tcPr>
            <w:tcW w:w="1245" w:type="dxa"/>
            <w:tcBorders>
              <w:top w:val="outset" w:color="auto" w:sz="6" w:space="0"/>
              <w:bottom w:val="outset" w:color="auto" w:sz="6" w:space="0"/>
            </w:tcBorders>
            <w:noWrap w:val="0"/>
            <w:vAlign w:val="center"/>
          </w:tcPr>
          <w:p>
            <w:pPr>
              <w:widowControl/>
              <w:jc w:val="center"/>
              <w:rPr>
                <w:rFonts w:hint="default" w:ascii="宋体" w:hAnsi="宋体" w:eastAsia="宋体" w:cs="宋体"/>
                <w:kern w:val="0"/>
                <w:sz w:val="24"/>
                <w:szCs w:val="24"/>
                <w:lang w:val="en-US" w:eastAsia="zh-CN"/>
              </w:rPr>
            </w:pPr>
            <w:r>
              <w:rPr>
                <w:rFonts w:hint="eastAsia" w:ascii="宋体" w:hAnsi="宋体" w:cs="宋体"/>
                <w:kern w:val="0"/>
                <w:sz w:val="24"/>
                <w:szCs w:val="24"/>
              </w:rPr>
              <w:t>处罚</w:t>
            </w:r>
            <w:r>
              <w:rPr>
                <w:rFonts w:hint="eastAsia" w:ascii="宋体" w:hAnsi="宋体" w:cs="宋体"/>
                <w:kern w:val="0"/>
                <w:sz w:val="24"/>
                <w:szCs w:val="24"/>
                <w:lang w:val="en-US" w:eastAsia="zh-CN"/>
              </w:rPr>
              <w:t>金额（元）</w:t>
            </w:r>
          </w:p>
        </w:tc>
        <w:tc>
          <w:tcPr>
            <w:tcW w:w="3041" w:type="dxa"/>
            <w:tcBorders>
              <w:top w:val="outset" w:color="auto" w:sz="6" w:space="0"/>
              <w:bottom w:val="outset" w:color="auto" w:sz="6" w:space="0"/>
            </w:tcBorders>
            <w:noWrap w:val="0"/>
            <w:vAlign w:val="center"/>
          </w:tcPr>
          <w:p>
            <w:pPr>
              <w:widowControl/>
              <w:jc w:val="center"/>
              <w:rPr>
                <w:rFonts w:ascii="宋体" w:hAnsi="宋体" w:cs="宋体"/>
                <w:kern w:val="0"/>
                <w:sz w:val="24"/>
                <w:szCs w:val="24"/>
              </w:rPr>
            </w:pPr>
            <w:r>
              <w:rPr>
                <w:rFonts w:hint="eastAsia" w:ascii="宋体" w:hAnsi="宋体" w:cs="宋体"/>
                <w:kern w:val="0"/>
                <w:sz w:val="24"/>
                <w:szCs w:val="24"/>
              </w:rPr>
              <w:t>案号</w:t>
            </w:r>
          </w:p>
        </w:tc>
      </w:tr>
      <w:tr>
        <w:tblPrEx>
          <w:tblBorders>
            <w:top w:val="none" w:color="auto" w:sz="0" w:space="0"/>
            <w:left w:val="outset" w:color="auto" w:sz="6" w:space="0"/>
            <w:bottom w:val="outset" w:color="auto" w:sz="6" w:space="0"/>
            <w:right w:val="outset" w:color="auto" w:sz="6" w:space="0"/>
            <w:insideH w:val="none" w:color="auto" w:sz="0" w:space="0"/>
            <w:insideV w:val="outset" w:color="auto" w:sz="6" w:space="0"/>
          </w:tblBorders>
          <w:tblLayout w:type="fixed"/>
          <w:tblCellMar>
            <w:top w:w="0" w:type="dxa"/>
            <w:left w:w="0" w:type="dxa"/>
            <w:bottom w:w="0" w:type="dxa"/>
            <w:right w:w="0" w:type="dxa"/>
          </w:tblCellMar>
        </w:tblPrEx>
        <w:trPr>
          <w:cantSplit/>
          <w:trHeight w:val="923" w:hRule="exact"/>
          <w:tblCellSpacing w:w="0" w:type="dxa"/>
        </w:trPr>
        <w:tc>
          <w:tcPr>
            <w:tcW w:w="899" w:type="dxa"/>
            <w:vMerge w:val="restart"/>
            <w:tcBorders>
              <w:top w:val="outset" w:color="auto" w:sz="6" w:space="0"/>
            </w:tcBorders>
            <w:noWrap w:val="0"/>
            <w:vAlign w:val="center"/>
          </w:tcPr>
          <w:p>
            <w:pPr>
              <w:keepNext w:val="0"/>
              <w:keepLines w:val="0"/>
              <w:widowControl/>
              <w:suppressLineNumbers w:val="0"/>
              <w:jc w:val="center"/>
              <w:textAlignment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w:t>
            </w:r>
          </w:p>
        </w:tc>
        <w:tc>
          <w:tcPr>
            <w:tcW w:w="491" w:type="dxa"/>
            <w:tcBorders>
              <w:top w:val="outset" w:color="auto" w:sz="6" w:space="0"/>
              <w:bottom w:val="outset" w:color="auto" w:sz="6" w:space="0"/>
            </w:tcBorders>
            <w:noWrap w:val="0"/>
            <w:tcMar>
              <w:top w:w="113" w:type="dxa"/>
              <w:left w:w="0" w:type="dxa"/>
              <w:bottom w:w="113"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w:t>
            </w:r>
          </w:p>
        </w:tc>
        <w:tc>
          <w:tcPr>
            <w:tcW w:w="1299"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widowControl/>
              <w:suppressLineNumbers w:val="0"/>
              <w:jc w:val="center"/>
              <w:textAlignment w:val="bottom"/>
              <w:rPr>
                <w:rFonts w:hint="default" w:ascii="宋体" w:hAnsi="宋体" w:eastAsia="宋体" w:cs="宋体"/>
                <w:i w:val="0"/>
                <w:iCs w:val="0"/>
                <w:color w:val="auto"/>
                <w:kern w:val="0"/>
                <w:sz w:val="16"/>
                <w:szCs w:val="16"/>
                <w:u w:val="none"/>
                <w:lang w:val="en-US" w:eastAsia="zh-CN" w:bidi="ar"/>
              </w:rPr>
            </w:pPr>
            <w:r>
              <w:rPr>
                <w:rFonts w:hint="eastAsia" w:ascii="宋体" w:hAnsi="宋体" w:eastAsia="宋体" w:cs="宋体"/>
                <w:i w:val="0"/>
                <w:iCs w:val="0"/>
                <w:color w:val="auto"/>
                <w:kern w:val="0"/>
                <w:sz w:val="16"/>
                <w:szCs w:val="16"/>
                <w:u w:val="none"/>
                <w:lang w:val="en-US" w:eastAsia="zh-CN" w:bidi="ar"/>
              </w:rPr>
              <w:t xml:space="preserve">2026年 8月 </w:t>
            </w:r>
            <w:r>
              <w:rPr>
                <w:rFonts w:hint="eastAsia" w:ascii="宋体" w:hAnsi="宋体" w:cs="宋体"/>
                <w:i w:val="0"/>
                <w:iCs w:val="0"/>
                <w:color w:val="auto"/>
                <w:kern w:val="0"/>
                <w:sz w:val="16"/>
                <w:szCs w:val="16"/>
                <w:u w:val="none"/>
                <w:lang w:val="en-US" w:eastAsia="zh-CN" w:bidi="ar"/>
              </w:rPr>
              <w:t>4</w:t>
            </w:r>
            <w:r>
              <w:rPr>
                <w:rFonts w:hint="eastAsia" w:ascii="宋体" w:hAnsi="宋体" w:eastAsia="宋体" w:cs="宋体"/>
                <w:i w:val="0"/>
                <w:iCs w:val="0"/>
                <w:color w:val="auto"/>
                <w:kern w:val="0"/>
                <w:sz w:val="16"/>
                <w:szCs w:val="16"/>
                <w:u w:val="none"/>
                <w:lang w:val="en-US" w:eastAsia="zh-CN" w:bidi="ar"/>
              </w:rPr>
              <w:t>日</w:t>
            </w:r>
          </w:p>
        </w:tc>
        <w:tc>
          <w:tcPr>
            <w:tcW w:w="2482"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widowControl/>
              <w:suppressLineNumbers w:val="0"/>
              <w:jc w:val="center"/>
              <w:textAlignment w:val="bottom"/>
              <w:rPr>
                <w:rFonts w:hint="default" w:ascii="宋体" w:hAnsi="宋体" w:eastAsia="宋体" w:cs="宋体"/>
                <w:color w:val="auto"/>
                <w:kern w:val="2"/>
                <w:sz w:val="16"/>
                <w:szCs w:val="16"/>
                <w:lang w:val="en-US" w:eastAsia="zh-CN" w:bidi="ar-SA"/>
              </w:rPr>
            </w:pPr>
            <w:r>
              <w:rPr>
                <w:rFonts w:hint="eastAsia" w:ascii="宋体" w:hAnsi="宋体" w:eastAsia="宋体" w:cs="宋体"/>
                <w:color w:val="auto"/>
                <w:kern w:val="2"/>
                <w:sz w:val="16"/>
                <w:szCs w:val="16"/>
                <w:lang w:val="en-US" w:eastAsia="zh-CN" w:bidi="ar-SA"/>
              </w:rPr>
              <w:t>剡俊财</w:t>
            </w:r>
          </w:p>
        </w:tc>
        <w:tc>
          <w:tcPr>
            <w:tcW w:w="3488"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widowControl/>
              <w:suppressLineNumbers w:val="0"/>
              <w:jc w:val="center"/>
              <w:textAlignment w:val="bottom"/>
              <w:rPr>
                <w:rFonts w:hint="default"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剡俊财涉嫌巡游出租汽车驾驶员拒载、议价、途中甩客或者故意绕道行驶案</w:t>
            </w:r>
          </w:p>
        </w:tc>
        <w:tc>
          <w:tcPr>
            <w:tcW w:w="945"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jc w:val="center"/>
              <w:rPr>
                <w:rFonts w:hint="default" w:ascii="宋体" w:hAnsi="宋体" w:eastAsia="宋体" w:cs="宋体"/>
                <w:kern w:val="2"/>
                <w:sz w:val="16"/>
                <w:szCs w:val="16"/>
                <w:lang w:val="en-US" w:eastAsia="zh-CN" w:bidi="ar-SA"/>
              </w:rPr>
            </w:pPr>
            <w:r>
              <w:rPr>
                <w:rFonts w:hint="eastAsia" w:ascii="宋体" w:hAnsi="宋体" w:cs="宋体"/>
                <w:kern w:val="2"/>
                <w:sz w:val="16"/>
                <w:szCs w:val="16"/>
                <w:lang w:val="en-US" w:eastAsia="zh-CN" w:bidi="ar-SA"/>
              </w:rPr>
              <w:t>否</w:t>
            </w:r>
          </w:p>
        </w:tc>
        <w:tc>
          <w:tcPr>
            <w:tcW w:w="1245"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widowControl/>
              <w:suppressLineNumbers w:val="0"/>
              <w:jc w:val="center"/>
              <w:textAlignment w:val="bottom"/>
              <w:rPr>
                <w:rFonts w:hint="default" w:ascii="宋体" w:hAnsi="宋体" w:eastAsia="宋体" w:cs="宋体"/>
                <w:kern w:val="2"/>
                <w:sz w:val="16"/>
                <w:szCs w:val="16"/>
                <w:lang w:val="en-US" w:eastAsia="zh-CN" w:bidi="ar-SA"/>
              </w:rPr>
            </w:pPr>
            <w:r>
              <w:rPr>
                <w:rFonts w:hint="eastAsia" w:ascii="宋体" w:hAnsi="宋体" w:cs="宋体"/>
                <w:kern w:val="2"/>
                <w:sz w:val="16"/>
                <w:szCs w:val="16"/>
                <w:lang w:val="en-US" w:eastAsia="zh-CN" w:bidi="ar-SA"/>
              </w:rPr>
              <w:t>200</w:t>
            </w:r>
          </w:p>
        </w:tc>
        <w:tc>
          <w:tcPr>
            <w:tcW w:w="3041"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widowControl/>
              <w:suppressLineNumbers w:val="0"/>
              <w:jc w:val="center"/>
              <w:textAlignment w:val="bottom"/>
              <w:rPr>
                <w:rFonts w:hint="eastAsia" w:ascii="宋体" w:hAnsi="宋体" w:eastAsia="宋体" w:cs="宋体"/>
                <w:kern w:val="2"/>
                <w:sz w:val="16"/>
                <w:szCs w:val="16"/>
                <w:lang w:val="en-US" w:eastAsia="zh-CN" w:bidi="ar-SA"/>
              </w:rPr>
            </w:pPr>
            <w:r>
              <w:rPr>
                <w:rFonts w:hint="eastAsia" w:ascii="宋体" w:hAnsi="宋体" w:eastAsia="宋体" w:cs="宋体"/>
                <w:kern w:val="2"/>
                <w:sz w:val="16"/>
                <w:szCs w:val="16"/>
                <w:lang w:val="en-US" w:eastAsia="zh-CN" w:bidi="ar-SA"/>
              </w:rPr>
              <w:t>新塔额交执运政〔2026〕002</w:t>
            </w:r>
            <w:r>
              <w:rPr>
                <w:rFonts w:hint="eastAsia" w:ascii="宋体" w:hAnsi="宋体" w:cs="宋体"/>
                <w:kern w:val="2"/>
                <w:sz w:val="16"/>
                <w:szCs w:val="16"/>
                <w:lang w:val="en-US" w:eastAsia="zh-CN" w:bidi="ar-SA"/>
              </w:rPr>
              <w:t>9</w:t>
            </w:r>
            <w:r>
              <w:rPr>
                <w:rFonts w:hint="eastAsia" w:ascii="宋体" w:hAnsi="宋体" w:eastAsia="宋体" w:cs="宋体"/>
                <w:kern w:val="2"/>
                <w:sz w:val="16"/>
                <w:szCs w:val="16"/>
                <w:lang w:val="en-US" w:eastAsia="zh-CN" w:bidi="ar-SA"/>
              </w:rPr>
              <w:t>号</w:t>
            </w:r>
          </w:p>
        </w:tc>
      </w:tr>
      <w:tr>
        <w:tblPrEx>
          <w:tblBorders>
            <w:top w:val="none" w:color="auto" w:sz="0" w:space="0"/>
            <w:left w:val="outset" w:color="auto" w:sz="6" w:space="0"/>
            <w:bottom w:val="outset" w:color="auto" w:sz="6" w:space="0"/>
            <w:right w:val="outset" w:color="auto" w:sz="6" w:space="0"/>
            <w:insideH w:val="none" w:color="auto" w:sz="0" w:space="0"/>
            <w:insideV w:val="outset" w:color="auto" w:sz="6" w:space="0"/>
          </w:tblBorders>
          <w:tblLayout w:type="fixed"/>
          <w:tblCellMar>
            <w:top w:w="0" w:type="dxa"/>
            <w:left w:w="0" w:type="dxa"/>
            <w:bottom w:w="0" w:type="dxa"/>
            <w:right w:w="0" w:type="dxa"/>
          </w:tblCellMar>
        </w:tblPrEx>
        <w:trPr>
          <w:cantSplit/>
          <w:trHeight w:val="997" w:hRule="exact"/>
          <w:tblCellSpacing w:w="0" w:type="dxa"/>
        </w:trPr>
        <w:tc>
          <w:tcPr>
            <w:tcW w:w="899" w:type="dxa"/>
            <w:vMerge w:val="continue"/>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4"/>
                <w:szCs w:val="24"/>
                <w:lang w:val="en-US" w:eastAsia="zh-CN"/>
              </w:rPr>
            </w:pPr>
          </w:p>
        </w:tc>
        <w:tc>
          <w:tcPr>
            <w:tcW w:w="491" w:type="dxa"/>
            <w:tcBorders>
              <w:top w:val="outset" w:color="auto" w:sz="6" w:space="0"/>
              <w:bottom w:val="outset" w:color="auto" w:sz="6" w:space="0"/>
            </w:tcBorders>
            <w:noWrap w:val="0"/>
            <w:tcMar>
              <w:top w:w="113" w:type="dxa"/>
              <w:left w:w="0" w:type="dxa"/>
              <w:bottom w:w="113"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w:t>
            </w:r>
          </w:p>
        </w:tc>
        <w:tc>
          <w:tcPr>
            <w:tcW w:w="1299"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widowControl/>
              <w:suppressLineNumbers w:val="0"/>
              <w:jc w:val="center"/>
              <w:textAlignment w:val="bottom"/>
              <w:rPr>
                <w:rFonts w:hint="eastAsia" w:ascii="宋体" w:hAnsi="宋体" w:eastAsia="宋体" w:cs="宋体"/>
                <w:i w:val="0"/>
                <w:iCs w:val="0"/>
                <w:color w:val="auto"/>
                <w:kern w:val="0"/>
                <w:sz w:val="16"/>
                <w:szCs w:val="16"/>
                <w:u w:val="none"/>
                <w:lang w:val="en-US" w:eastAsia="zh-CN" w:bidi="ar"/>
              </w:rPr>
            </w:pPr>
            <w:r>
              <w:rPr>
                <w:rFonts w:hint="eastAsia" w:ascii="宋体" w:hAnsi="宋体" w:eastAsia="宋体" w:cs="宋体"/>
                <w:i w:val="0"/>
                <w:iCs w:val="0"/>
                <w:color w:val="auto"/>
                <w:kern w:val="0"/>
                <w:sz w:val="16"/>
                <w:szCs w:val="16"/>
                <w:u w:val="none"/>
                <w:lang w:val="en-US" w:eastAsia="zh-CN" w:bidi="ar"/>
              </w:rPr>
              <w:t xml:space="preserve">2026年 8月 </w:t>
            </w:r>
            <w:r>
              <w:rPr>
                <w:rFonts w:hint="eastAsia" w:ascii="宋体" w:hAnsi="宋体" w:cs="宋体"/>
                <w:i w:val="0"/>
                <w:iCs w:val="0"/>
                <w:color w:val="auto"/>
                <w:kern w:val="0"/>
                <w:sz w:val="16"/>
                <w:szCs w:val="16"/>
                <w:u w:val="none"/>
                <w:lang w:val="en-US" w:eastAsia="zh-CN" w:bidi="ar"/>
              </w:rPr>
              <w:t>4</w:t>
            </w:r>
            <w:r>
              <w:rPr>
                <w:rFonts w:hint="eastAsia" w:ascii="宋体" w:hAnsi="宋体" w:eastAsia="宋体" w:cs="宋体"/>
                <w:i w:val="0"/>
                <w:iCs w:val="0"/>
                <w:color w:val="auto"/>
                <w:kern w:val="0"/>
                <w:sz w:val="16"/>
                <w:szCs w:val="16"/>
                <w:u w:val="none"/>
                <w:lang w:val="en-US" w:eastAsia="zh-CN" w:bidi="ar"/>
              </w:rPr>
              <w:t>日</w:t>
            </w:r>
          </w:p>
        </w:tc>
        <w:tc>
          <w:tcPr>
            <w:tcW w:w="2482"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widowControl/>
              <w:suppressLineNumbers w:val="0"/>
              <w:jc w:val="center"/>
              <w:textAlignment w:val="bottom"/>
              <w:rPr>
                <w:rFonts w:hint="eastAsia" w:ascii="宋体" w:hAnsi="宋体" w:eastAsia="宋体" w:cs="宋体"/>
                <w:color w:val="auto"/>
                <w:kern w:val="2"/>
                <w:sz w:val="16"/>
                <w:szCs w:val="16"/>
                <w:lang w:val="en-US" w:eastAsia="zh-CN" w:bidi="ar-SA"/>
              </w:rPr>
            </w:pPr>
            <w:r>
              <w:rPr>
                <w:rFonts w:hint="eastAsia" w:ascii="宋体" w:hAnsi="宋体" w:eastAsia="宋体" w:cs="宋体"/>
                <w:color w:val="auto"/>
                <w:kern w:val="2"/>
                <w:sz w:val="16"/>
                <w:szCs w:val="16"/>
                <w:lang w:val="en-US" w:eastAsia="zh-CN" w:bidi="ar-SA"/>
              </w:rPr>
              <w:t>额敏华强道路运输服务站</w:t>
            </w:r>
          </w:p>
          <w:p>
            <w:pPr>
              <w:keepNext w:val="0"/>
              <w:keepLines w:val="0"/>
              <w:widowControl/>
              <w:suppressLineNumbers w:val="0"/>
              <w:jc w:val="center"/>
              <w:textAlignment w:val="bottom"/>
              <w:rPr>
                <w:rFonts w:hint="default" w:ascii="宋体" w:hAnsi="宋体" w:eastAsia="宋体" w:cs="宋体"/>
                <w:color w:val="auto"/>
                <w:kern w:val="2"/>
                <w:sz w:val="16"/>
                <w:szCs w:val="16"/>
                <w:lang w:val="en-US" w:eastAsia="zh-CN" w:bidi="ar-SA"/>
              </w:rPr>
            </w:pPr>
          </w:p>
        </w:tc>
        <w:tc>
          <w:tcPr>
            <w:tcW w:w="3488"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额敏华强道路运输服务站涉嫌道路运输经营者未按照规定的周期和频次进行车辆检验检测案</w:t>
            </w:r>
          </w:p>
          <w:p>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p>
        </w:tc>
        <w:tc>
          <w:tcPr>
            <w:tcW w:w="945"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jc w:val="center"/>
              <w:rPr>
                <w:rFonts w:hint="default" w:ascii="宋体" w:hAnsi="宋体" w:eastAsia="宋体" w:cs="宋体"/>
                <w:kern w:val="2"/>
                <w:sz w:val="16"/>
                <w:szCs w:val="16"/>
                <w:lang w:val="en-US" w:eastAsia="zh-CN" w:bidi="ar-SA"/>
              </w:rPr>
            </w:pPr>
            <w:r>
              <w:rPr>
                <w:rFonts w:hint="eastAsia" w:ascii="宋体" w:hAnsi="宋体" w:cs="宋体"/>
                <w:kern w:val="2"/>
                <w:sz w:val="16"/>
                <w:szCs w:val="16"/>
                <w:lang w:val="en-US" w:eastAsia="zh-CN" w:bidi="ar-SA"/>
              </w:rPr>
              <w:t>否</w:t>
            </w:r>
          </w:p>
        </w:tc>
        <w:tc>
          <w:tcPr>
            <w:tcW w:w="1245"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widowControl/>
              <w:suppressLineNumbers w:val="0"/>
              <w:jc w:val="center"/>
              <w:textAlignment w:val="bottom"/>
              <w:rPr>
                <w:rFonts w:hint="default" w:ascii="宋体" w:hAnsi="宋体" w:eastAsia="宋体" w:cs="宋体"/>
                <w:kern w:val="2"/>
                <w:sz w:val="16"/>
                <w:szCs w:val="16"/>
                <w:lang w:val="en-US" w:eastAsia="zh-CN" w:bidi="ar-SA"/>
              </w:rPr>
            </w:pPr>
            <w:r>
              <w:rPr>
                <w:rFonts w:hint="eastAsia" w:ascii="宋体" w:hAnsi="宋体" w:cs="宋体"/>
                <w:kern w:val="2"/>
                <w:sz w:val="16"/>
                <w:szCs w:val="16"/>
                <w:lang w:val="en-US" w:eastAsia="zh-CN" w:bidi="ar-SA"/>
              </w:rPr>
              <w:t>免于处罚</w:t>
            </w:r>
          </w:p>
        </w:tc>
        <w:tc>
          <w:tcPr>
            <w:tcW w:w="3041"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widowControl/>
              <w:suppressLineNumbers w:val="0"/>
              <w:jc w:val="center"/>
              <w:textAlignment w:val="bottom"/>
              <w:rPr>
                <w:rFonts w:hint="eastAsia" w:ascii="宋体" w:hAnsi="宋体" w:eastAsia="宋体" w:cs="宋体"/>
                <w:kern w:val="2"/>
                <w:sz w:val="16"/>
                <w:szCs w:val="16"/>
                <w:lang w:val="en-US" w:eastAsia="zh-CN" w:bidi="ar-SA"/>
              </w:rPr>
            </w:pPr>
            <w:r>
              <w:rPr>
                <w:rFonts w:hint="eastAsia" w:ascii="宋体" w:hAnsi="宋体" w:eastAsia="宋体" w:cs="宋体"/>
                <w:kern w:val="2"/>
                <w:sz w:val="16"/>
                <w:szCs w:val="16"/>
                <w:lang w:val="en-US" w:eastAsia="zh-CN" w:bidi="ar-SA"/>
              </w:rPr>
              <w:t>新塔额交执运政〔2026〕00</w:t>
            </w:r>
            <w:r>
              <w:rPr>
                <w:rFonts w:hint="eastAsia" w:ascii="宋体" w:hAnsi="宋体" w:cs="宋体"/>
                <w:kern w:val="2"/>
                <w:sz w:val="16"/>
                <w:szCs w:val="16"/>
                <w:lang w:val="en-US" w:eastAsia="zh-CN" w:bidi="ar-SA"/>
              </w:rPr>
              <w:t>32</w:t>
            </w:r>
            <w:r>
              <w:rPr>
                <w:rFonts w:hint="eastAsia" w:ascii="宋体" w:hAnsi="宋体" w:eastAsia="宋体" w:cs="宋体"/>
                <w:kern w:val="2"/>
                <w:sz w:val="16"/>
                <w:szCs w:val="16"/>
                <w:lang w:val="en-US" w:eastAsia="zh-CN" w:bidi="ar-SA"/>
              </w:rPr>
              <w:t>号</w:t>
            </w:r>
          </w:p>
        </w:tc>
      </w:tr>
      <w:tr>
        <w:tblPrEx>
          <w:tblBorders>
            <w:top w:val="none" w:color="auto" w:sz="0" w:space="0"/>
            <w:left w:val="outset" w:color="auto" w:sz="6" w:space="0"/>
            <w:bottom w:val="outset" w:color="auto" w:sz="6" w:space="0"/>
            <w:right w:val="outset" w:color="auto" w:sz="6" w:space="0"/>
            <w:insideH w:val="none" w:color="auto" w:sz="0" w:space="0"/>
            <w:insideV w:val="outset" w:color="auto" w:sz="6" w:space="0"/>
          </w:tblBorders>
          <w:tblLayout w:type="fixed"/>
          <w:tblCellMar>
            <w:top w:w="0" w:type="dxa"/>
            <w:left w:w="0" w:type="dxa"/>
            <w:bottom w:w="0" w:type="dxa"/>
            <w:right w:w="0" w:type="dxa"/>
          </w:tblCellMar>
        </w:tblPrEx>
        <w:trPr>
          <w:cantSplit/>
          <w:trHeight w:val="997" w:hRule="exact"/>
          <w:tblCellSpacing w:w="0" w:type="dxa"/>
        </w:trPr>
        <w:tc>
          <w:tcPr>
            <w:tcW w:w="899" w:type="dxa"/>
            <w:vMerge w:val="continue"/>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4"/>
                <w:szCs w:val="24"/>
                <w:lang w:val="en-US" w:eastAsia="zh-CN"/>
              </w:rPr>
            </w:pPr>
          </w:p>
        </w:tc>
        <w:tc>
          <w:tcPr>
            <w:tcW w:w="491" w:type="dxa"/>
            <w:tcBorders>
              <w:top w:val="outset" w:color="auto" w:sz="6" w:space="0"/>
              <w:bottom w:val="outset" w:color="auto" w:sz="6" w:space="0"/>
            </w:tcBorders>
            <w:noWrap w:val="0"/>
            <w:tcMar>
              <w:top w:w="113" w:type="dxa"/>
              <w:left w:w="0" w:type="dxa"/>
              <w:bottom w:w="113"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w:t>
            </w:r>
          </w:p>
        </w:tc>
        <w:tc>
          <w:tcPr>
            <w:tcW w:w="1299"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widowControl/>
              <w:suppressLineNumbers w:val="0"/>
              <w:jc w:val="center"/>
              <w:textAlignment w:val="bottom"/>
              <w:rPr>
                <w:rFonts w:hint="default" w:ascii="宋体" w:hAnsi="宋体" w:eastAsia="宋体" w:cs="宋体"/>
                <w:i w:val="0"/>
                <w:iCs w:val="0"/>
                <w:color w:val="auto"/>
                <w:kern w:val="0"/>
                <w:sz w:val="16"/>
                <w:szCs w:val="16"/>
                <w:u w:val="none"/>
                <w:lang w:val="en-US" w:eastAsia="zh-CN" w:bidi="ar"/>
              </w:rPr>
            </w:pPr>
            <w:r>
              <w:rPr>
                <w:rFonts w:hint="eastAsia" w:ascii="宋体" w:hAnsi="宋体" w:eastAsia="宋体" w:cs="宋体"/>
                <w:i w:val="0"/>
                <w:iCs w:val="0"/>
                <w:color w:val="auto"/>
                <w:kern w:val="0"/>
                <w:sz w:val="16"/>
                <w:szCs w:val="16"/>
                <w:u w:val="none"/>
                <w:lang w:val="en-US" w:eastAsia="zh-CN" w:bidi="ar"/>
              </w:rPr>
              <w:t xml:space="preserve">2026年 </w:t>
            </w:r>
            <w:r>
              <w:rPr>
                <w:rFonts w:hint="eastAsia" w:ascii="宋体" w:hAnsi="宋体" w:cs="宋体"/>
                <w:i w:val="0"/>
                <w:iCs w:val="0"/>
                <w:color w:val="auto"/>
                <w:kern w:val="0"/>
                <w:sz w:val="16"/>
                <w:szCs w:val="16"/>
                <w:u w:val="none"/>
                <w:lang w:val="en-US" w:eastAsia="zh-CN" w:bidi="ar"/>
              </w:rPr>
              <w:t>7</w:t>
            </w:r>
            <w:r>
              <w:rPr>
                <w:rFonts w:hint="eastAsia" w:ascii="宋体" w:hAnsi="宋体" w:eastAsia="宋体" w:cs="宋体"/>
                <w:i w:val="0"/>
                <w:iCs w:val="0"/>
                <w:color w:val="auto"/>
                <w:kern w:val="0"/>
                <w:sz w:val="16"/>
                <w:szCs w:val="16"/>
                <w:u w:val="none"/>
                <w:lang w:val="en-US" w:eastAsia="zh-CN" w:bidi="ar"/>
              </w:rPr>
              <w:t xml:space="preserve">月 </w:t>
            </w:r>
            <w:r>
              <w:rPr>
                <w:rFonts w:hint="eastAsia" w:ascii="宋体" w:hAnsi="宋体" w:cs="宋体"/>
                <w:i w:val="0"/>
                <w:iCs w:val="0"/>
                <w:color w:val="auto"/>
                <w:kern w:val="0"/>
                <w:sz w:val="16"/>
                <w:szCs w:val="16"/>
                <w:u w:val="none"/>
                <w:lang w:val="en-US" w:eastAsia="zh-CN" w:bidi="ar"/>
              </w:rPr>
              <w:t>27</w:t>
            </w:r>
            <w:r>
              <w:rPr>
                <w:rFonts w:hint="eastAsia" w:ascii="宋体" w:hAnsi="宋体" w:eastAsia="宋体" w:cs="宋体"/>
                <w:i w:val="0"/>
                <w:iCs w:val="0"/>
                <w:color w:val="auto"/>
                <w:kern w:val="0"/>
                <w:sz w:val="16"/>
                <w:szCs w:val="16"/>
                <w:u w:val="none"/>
                <w:lang w:val="en-US" w:eastAsia="zh-CN" w:bidi="ar"/>
              </w:rPr>
              <w:t>日</w:t>
            </w:r>
          </w:p>
        </w:tc>
        <w:tc>
          <w:tcPr>
            <w:tcW w:w="2482"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widowControl/>
              <w:suppressLineNumbers w:val="0"/>
              <w:jc w:val="center"/>
              <w:textAlignment w:val="bottom"/>
              <w:rPr>
                <w:rFonts w:hint="eastAsia" w:ascii="宋体" w:hAnsi="宋体" w:eastAsia="宋体" w:cs="宋体"/>
                <w:color w:val="auto"/>
                <w:kern w:val="2"/>
                <w:sz w:val="16"/>
                <w:szCs w:val="16"/>
                <w:lang w:val="en-US" w:eastAsia="zh-CN" w:bidi="ar-SA"/>
              </w:rPr>
            </w:pPr>
          </w:p>
          <w:p>
            <w:pPr>
              <w:keepNext w:val="0"/>
              <w:keepLines w:val="0"/>
              <w:widowControl/>
              <w:suppressLineNumbers w:val="0"/>
              <w:jc w:val="center"/>
              <w:textAlignment w:val="bottom"/>
              <w:rPr>
                <w:rFonts w:hint="eastAsia" w:ascii="宋体" w:hAnsi="宋体" w:eastAsia="宋体" w:cs="宋体"/>
                <w:color w:val="auto"/>
                <w:kern w:val="2"/>
                <w:sz w:val="16"/>
                <w:szCs w:val="16"/>
                <w:lang w:val="en-US" w:eastAsia="zh-CN" w:bidi="ar-SA"/>
              </w:rPr>
            </w:pPr>
            <w:r>
              <w:rPr>
                <w:rFonts w:hint="eastAsia" w:ascii="宋体" w:hAnsi="宋体" w:eastAsia="宋体" w:cs="宋体"/>
                <w:color w:val="auto"/>
                <w:kern w:val="2"/>
                <w:sz w:val="16"/>
                <w:szCs w:val="16"/>
                <w:lang w:val="en-US" w:eastAsia="zh-CN" w:bidi="ar-SA"/>
              </w:rPr>
              <w:t>对山别克·尼亚孜别克</w:t>
            </w:r>
          </w:p>
          <w:p>
            <w:pPr>
              <w:keepNext w:val="0"/>
              <w:keepLines w:val="0"/>
              <w:widowControl/>
              <w:suppressLineNumbers w:val="0"/>
              <w:jc w:val="center"/>
              <w:textAlignment w:val="bottom"/>
              <w:rPr>
                <w:rFonts w:hint="default" w:ascii="宋体" w:hAnsi="宋体" w:eastAsia="宋体" w:cs="宋体"/>
                <w:color w:val="auto"/>
                <w:kern w:val="2"/>
                <w:sz w:val="16"/>
                <w:szCs w:val="16"/>
                <w:lang w:val="en-US" w:eastAsia="zh-CN" w:bidi="ar-SA"/>
              </w:rPr>
            </w:pPr>
          </w:p>
        </w:tc>
        <w:tc>
          <w:tcPr>
            <w:tcW w:w="3488"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widowControl/>
              <w:suppressLineNumbers w:val="0"/>
              <w:jc w:val="center"/>
              <w:textAlignment w:val="bottom"/>
              <w:rPr>
                <w:rFonts w:hint="default"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对山别克·尼亚孜别克涉嫌巡游出租汽车驾驶员拒载、议价、途中甩客或者故意绕道行驶案</w:t>
            </w:r>
          </w:p>
        </w:tc>
        <w:tc>
          <w:tcPr>
            <w:tcW w:w="945"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jc w:val="center"/>
              <w:rPr>
                <w:rFonts w:hint="default" w:ascii="宋体" w:hAnsi="宋体" w:eastAsia="宋体" w:cs="宋体"/>
                <w:kern w:val="2"/>
                <w:sz w:val="16"/>
                <w:szCs w:val="16"/>
                <w:lang w:val="en-US" w:eastAsia="zh-CN" w:bidi="ar-SA"/>
              </w:rPr>
            </w:pPr>
            <w:r>
              <w:rPr>
                <w:rFonts w:hint="eastAsia" w:ascii="宋体" w:hAnsi="宋体" w:cs="宋体"/>
                <w:kern w:val="2"/>
                <w:sz w:val="16"/>
                <w:szCs w:val="16"/>
                <w:lang w:val="en-US" w:eastAsia="zh-CN" w:bidi="ar-SA"/>
              </w:rPr>
              <w:t>否</w:t>
            </w:r>
          </w:p>
        </w:tc>
        <w:tc>
          <w:tcPr>
            <w:tcW w:w="1245"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widowControl/>
              <w:suppressLineNumbers w:val="0"/>
              <w:jc w:val="center"/>
              <w:textAlignment w:val="bottom"/>
              <w:rPr>
                <w:rFonts w:hint="default" w:ascii="宋体" w:hAnsi="宋体" w:eastAsia="宋体" w:cs="宋体"/>
                <w:kern w:val="2"/>
                <w:sz w:val="16"/>
                <w:szCs w:val="16"/>
                <w:lang w:val="en-US" w:eastAsia="zh-CN" w:bidi="ar-SA"/>
              </w:rPr>
            </w:pPr>
            <w:r>
              <w:rPr>
                <w:rFonts w:hint="eastAsia" w:ascii="宋体" w:hAnsi="宋体" w:cs="宋体"/>
                <w:kern w:val="2"/>
                <w:sz w:val="16"/>
                <w:szCs w:val="16"/>
                <w:lang w:val="en-US" w:eastAsia="zh-CN" w:bidi="ar-SA"/>
              </w:rPr>
              <w:t>200</w:t>
            </w:r>
          </w:p>
        </w:tc>
        <w:tc>
          <w:tcPr>
            <w:tcW w:w="3041"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widowControl/>
              <w:suppressLineNumbers w:val="0"/>
              <w:jc w:val="center"/>
              <w:textAlignment w:val="bottom"/>
              <w:rPr>
                <w:rFonts w:hint="eastAsia" w:ascii="宋体" w:hAnsi="宋体" w:eastAsia="宋体" w:cs="宋体"/>
                <w:kern w:val="2"/>
                <w:sz w:val="16"/>
                <w:szCs w:val="16"/>
                <w:lang w:val="en-US" w:eastAsia="zh-CN" w:bidi="ar-SA"/>
              </w:rPr>
            </w:pPr>
            <w:r>
              <w:rPr>
                <w:rFonts w:hint="eastAsia" w:ascii="宋体" w:hAnsi="宋体" w:eastAsia="宋体" w:cs="宋体"/>
                <w:kern w:val="2"/>
                <w:sz w:val="16"/>
                <w:szCs w:val="16"/>
                <w:lang w:val="en-US" w:eastAsia="zh-CN" w:bidi="ar-SA"/>
              </w:rPr>
              <w:t>新塔额交执运政〔2026〕00</w:t>
            </w:r>
            <w:r>
              <w:rPr>
                <w:rFonts w:hint="eastAsia" w:ascii="宋体" w:hAnsi="宋体" w:cs="宋体"/>
                <w:kern w:val="2"/>
                <w:sz w:val="16"/>
                <w:szCs w:val="16"/>
                <w:lang w:val="en-US" w:eastAsia="zh-CN" w:bidi="ar-SA"/>
              </w:rPr>
              <w:t>28</w:t>
            </w:r>
            <w:r>
              <w:rPr>
                <w:rFonts w:hint="eastAsia" w:ascii="宋体" w:hAnsi="宋体" w:eastAsia="宋体" w:cs="宋体"/>
                <w:kern w:val="2"/>
                <w:sz w:val="16"/>
                <w:szCs w:val="16"/>
                <w:lang w:val="en-US" w:eastAsia="zh-CN" w:bidi="ar-SA"/>
              </w:rPr>
              <w:t>号</w:t>
            </w:r>
          </w:p>
        </w:tc>
      </w:tr>
      <w:tr>
        <w:tblPrEx>
          <w:tblBorders>
            <w:top w:val="none" w:color="auto" w:sz="0" w:space="0"/>
            <w:left w:val="outset" w:color="auto" w:sz="6" w:space="0"/>
            <w:bottom w:val="outset" w:color="auto" w:sz="6" w:space="0"/>
            <w:right w:val="outset" w:color="auto" w:sz="6" w:space="0"/>
            <w:insideH w:val="none" w:color="auto" w:sz="0" w:space="0"/>
            <w:insideV w:val="outset" w:color="auto" w:sz="6" w:space="0"/>
          </w:tblBorders>
          <w:tblLayout w:type="fixed"/>
          <w:tblCellMar>
            <w:top w:w="0" w:type="dxa"/>
            <w:left w:w="0" w:type="dxa"/>
            <w:bottom w:w="0" w:type="dxa"/>
            <w:right w:w="0" w:type="dxa"/>
          </w:tblCellMar>
        </w:tblPrEx>
        <w:trPr>
          <w:cantSplit/>
          <w:trHeight w:val="982" w:hRule="exact"/>
          <w:tblCellSpacing w:w="0" w:type="dxa"/>
        </w:trPr>
        <w:tc>
          <w:tcPr>
            <w:tcW w:w="899" w:type="dxa"/>
            <w:vMerge w:val="continue"/>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4"/>
                <w:szCs w:val="24"/>
                <w:lang w:val="en-US" w:eastAsia="zh-CN"/>
              </w:rPr>
            </w:pPr>
          </w:p>
        </w:tc>
        <w:tc>
          <w:tcPr>
            <w:tcW w:w="491" w:type="dxa"/>
            <w:tcBorders>
              <w:top w:val="outset" w:color="auto" w:sz="6" w:space="0"/>
              <w:bottom w:val="outset" w:color="auto" w:sz="6" w:space="0"/>
            </w:tcBorders>
            <w:noWrap w:val="0"/>
            <w:tcMar>
              <w:top w:w="113" w:type="dxa"/>
              <w:left w:w="0" w:type="dxa"/>
              <w:bottom w:w="113"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w:t>
            </w:r>
          </w:p>
        </w:tc>
        <w:tc>
          <w:tcPr>
            <w:tcW w:w="1299"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widowControl/>
              <w:suppressLineNumbers w:val="0"/>
              <w:jc w:val="center"/>
              <w:textAlignment w:val="bottom"/>
              <w:rPr>
                <w:rFonts w:hint="default" w:ascii="宋体" w:hAnsi="宋体" w:eastAsia="宋体" w:cs="宋体"/>
                <w:i w:val="0"/>
                <w:iCs w:val="0"/>
                <w:color w:val="auto"/>
                <w:kern w:val="0"/>
                <w:sz w:val="16"/>
                <w:szCs w:val="16"/>
                <w:u w:val="none"/>
                <w:lang w:val="en-US" w:eastAsia="zh-CN" w:bidi="ar"/>
              </w:rPr>
            </w:pPr>
            <w:r>
              <w:rPr>
                <w:rFonts w:hint="eastAsia" w:ascii="宋体" w:hAnsi="宋体" w:eastAsia="宋体" w:cs="宋体"/>
                <w:i w:val="0"/>
                <w:iCs w:val="0"/>
                <w:color w:val="auto"/>
                <w:kern w:val="0"/>
                <w:sz w:val="16"/>
                <w:szCs w:val="16"/>
                <w:u w:val="none"/>
                <w:lang w:val="en-US" w:eastAsia="zh-CN" w:bidi="ar"/>
              </w:rPr>
              <w:t>2026年 8月</w:t>
            </w:r>
            <w:r>
              <w:rPr>
                <w:rFonts w:hint="eastAsia" w:ascii="宋体" w:hAnsi="宋体" w:cs="宋体"/>
                <w:i w:val="0"/>
                <w:iCs w:val="0"/>
                <w:color w:val="auto"/>
                <w:kern w:val="0"/>
                <w:sz w:val="16"/>
                <w:szCs w:val="16"/>
                <w:u w:val="none"/>
                <w:lang w:val="en-US" w:eastAsia="zh-CN" w:bidi="ar"/>
              </w:rPr>
              <w:t>19</w:t>
            </w:r>
            <w:r>
              <w:rPr>
                <w:rFonts w:hint="eastAsia" w:ascii="宋体" w:hAnsi="宋体" w:eastAsia="宋体" w:cs="宋体"/>
                <w:i w:val="0"/>
                <w:iCs w:val="0"/>
                <w:color w:val="auto"/>
                <w:kern w:val="0"/>
                <w:sz w:val="16"/>
                <w:szCs w:val="16"/>
                <w:u w:val="none"/>
                <w:lang w:val="en-US" w:eastAsia="zh-CN" w:bidi="ar"/>
              </w:rPr>
              <w:t>日</w:t>
            </w:r>
          </w:p>
        </w:tc>
        <w:tc>
          <w:tcPr>
            <w:tcW w:w="2482"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widowControl/>
              <w:suppressLineNumbers w:val="0"/>
              <w:jc w:val="center"/>
              <w:textAlignment w:val="bottom"/>
              <w:rPr>
                <w:rFonts w:hint="eastAsia" w:ascii="宋体" w:hAnsi="宋体" w:eastAsia="宋体" w:cs="宋体"/>
                <w:color w:val="auto"/>
                <w:kern w:val="2"/>
                <w:sz w:val="16"/>
                <w:szCs w:val="16"/>
                <w:lang w:val="en-US" w:eastAsia="zh-CN" w:bidi="ar-SA"/>
              </w:rPr>
            </w:pPr>
          </w:p>
          <w:p>
            <w:pPr>
              <w:keepNext w:val="0"/>
              <w:keepLines w:val="0"/>
              <w:widowControl/>
              <w:suppressLineNumbers w:val="0"/>
              <w:jc w:val="center"/>
              <w:textAlignment w:val="bottom"/>
              <w:rPr>
                <w:rFonts w:hint="eastAsia" w:ascii="宋体" w:hAnsi="宋体" w:eastAsia="宋体" w:cs="宋体"/>
                <w:color w:val="auto"/>
                <w:kern w:val="2"/>
                <w:sz w:val="16"/>
                <w:szCs w:val="16"/>
                <w:lang w:val="en-US" w:eastAsia="zh-CN" w:bidi="ar-SA"/>
              </w:rPr>
            </w:pPr>
            <w:r>
              <w:rPr>
                <w:rFonts w:hint="eastAsia" w:ascii="宋体" w:hAnsi="宋体" w:eastAsia="宋体" w:cs="宋体"/>
                <w:color w:val="auto"/>
                <w:kern w:val="2"/>
                <w:sz w:val="16"/>
                <w:szCs w:val="16"/>
                <w:lang w:val="en-US" w:eastAsia="zh-CN" w:bidi="ar-SA"/>
              </w:rPr>
              <w:t>丁礼双</w:t>
            </w:r>
          </w:p>
          <w:p>
            <w:pPr>
              <w:keepNext w:val="0"/>
              <w:keepLines w:val="0"/>
              <w:widowControl/>
              <w:suppressLineNumbers w:val="0"/>
              <w:jc w:val="center"/>
              <w:textAlignment w:val="bottom"/>
              <w:rPr>
                <w:rFonts w:hint="default" w:ascii="宋体" w:hAnsi="宋体" w:eastAsia="宋体" w:cs="宋体"/>
                <w:color w:val="auto"/>
                <w:kern w:val="2"/>
                <w:sz w:val="16"/>
                <w:szCs w:val="16"/>
                <w:lang w:val="en-US" w:eastAsia="zh-CN" w:bidi="ar-SA"/>
              </w:rPr>
            </w:pPr>
          </w:p>
        </w:tc>
        <w:tc>
          <w:tcPr>
            <w:tcW w:w="3488"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丁礼双涉嫌生产经营单位主要负责人未履行本法规定的安全生产管理职责的案</w:t>
            </w:r>
          </w:p>
        </w:tc>
        <w:tc>
          <w:tcPr>
            <w:tcW w:w="945"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jc w:val="center"/>
              <w:rPr>
                <w:rFonts w:hint="default" w:ascii="宋体" w:hAnsi="宋体" w:eastAsia="宋体" w:cs="宋体"/>
                <w:kern w:val="2"/>
                <w:sz w:val="16"/>
                <w:szCs w:val="16"/>
                <w:lang w:val="en-US" w:eastAsia="zh-CN" w:bidi="ar-SA"/>
              </w:rPr>
            </w:pPr>
            <w:r>
              <w:rPr>
                <w:rFonts w:hint="eastAsia" w:ascii="宋体" w:hAnsi="宋体" w:cs="宋体"/>
                <w:kern w:val="2"/>
                <w:sz w:val="16"/>
                <w:szCs w:val="16"/>
                <w:lang w:val="en-US" w:eastAsia="zh-CN" w:bidi="ar-SA"/>
              </w:rPr>
              <w:t>否</w:t>
            </w:r>
          </w:p>
        </w:tc>
        <w:tc>
          <w:tcPr>
            <w:tcW w:w="1245"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widowControl/>
              <w:suppressLineNumbers w:val="0"/>
              <w:jc w:val="center"/>
              <w:textAlignment w:val="bottom"/>
              <w:rPr>
                <w:rFonts w:hint="default" w:ascii="宋体" w:hAnsi="宋体" w:eastAsia="宋体" w:cs="宋体"/>
                <w:kern w:val="2"/>
                <w:sz w:val="16"/>
                <w:szCs w:val="16"/>
                <w:lang w:val="en-US" w:eastAsia="zh-CN" w:bidi="ar-SA"/>
              </w:rPr>
            </w:pPr>
            <w:r>
              <w:rPr>
                <w:rFonts w:hint="eastAsia" w:ascii="宋体" w:hAnsi="宋体" w:cs="宋体"/>
                <w:kern w:val="2"/>
                <w:sz w:val="16"/>
                <w:szCs w:val="16"/>
                <w:lang w:val="en-US" w:eastAsia="zh-CN" w:bidi="ar-SA"/>
              </w:rPr>
              <w:t>20000</w:t>
            </w:r>
          </w:p>
        </w:tc>
        <w:tc>
          <w:tcPr>
            <w:tcW w:w="3041"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widowControl/>
              <w:suppressLineNumbers w:val="0"/>
              <w:jc w:val="center"/>
              <w:textAlignment w:val="bottom"/>
              <w:rPr>
                <w:rFonts w:hint="eastAsia" w:ascii="宋体" w:hAnsi="宋体" w:eastAsia="宋体" w:cs="宋体"/>
                <w:kern w:val="2"/>
                <w:sz w:val="16"/>
                <w:szCs w:val="16"/>
                <w:lang w:val="en-US" w:eastAsia="zh-CN" w:bidi="ar-SA"/>
              </w:rPr>
            </w:pPr>
            <w:r>
              <w:rPr>
                <w:rFonts w:hint="eastAsia" w:ascii="宋体" w:hAnsi="宋体" w:eastAsia="宋体" w:cs="宋体"/>
                <w:kern w:val="2"/>
                <w:sz w:val="16"/>
                <w:szCs w:val="16"/>
                <w:lang w:val="en-US" w:eastAsia="zh-CN" w:bidi="ar-SA"/>
              </w:rPr>
              <w:t>新塔额交执运政〔2026〕00</w:t>
            </w:r>
            <w:r>
              <w:rPr>
                <w:rFonts w:hint="eastAsia" w:ascii="宋体" w:hAnsi="宋体" w:cs="宋体"/>
                <w:kern w:val="2"/>
                <w:sz w:val="16"/>
                <w:szCs w:val="16"/>
                <w:lang w:val="en-US" w:eastAsia="zh-CN" w:bidi="ar-SA"/>
              </w:rPr>
              <w:t>31</w:t>
            </w:r>
            <w:r>
              <w:rPr>
                <w:rFonts w:hint="eastAsia" w:ascii="宋体" w:hAnsi="宋体" w:eastAsia="宋体" w:cs="宋体"/>
                <w:kern w:val="2"/>
                <w:sz w:val="16"/>
                <w:szCs w:val="16"/>
                <w:lang w:val="en-US" w:eastAsia="zh-CN" w:bidi="ar-SA"/>
              </w:rPr>
              <w:t>号</w:t>
            </w:r>
          </w:p>
        </w:tc>
      </w:tr>
      <w:tr>
        <w:tblPrEx>
          <w:tblBorders>
            <w:top w:val="none" w:color="auto" w:sz="0" w:space="0"/>
            <w:left w:val="outset" w:color="auto" w:sz="6" w:space="0"/>
            <w:bottom w:val="outset" w:color="auto" w:sz="6" w:space="0"/>
            <w:right w:val="outset" w:color="auto" w:sz="6" w:space="0"/>
            <w:insideH w:val="none" w:color="auto" w:sz="0" w:space="0"/>
            <w:insideV w:val="outset" w:color="auto" w:sz="6" w:space="0"/>
          </w:tblBorders>
          <w:tblLayout w:type="fixed"/>
          <w:tblCellMar>
            <w:top w:w="0" w:type="dxa"/>
            <w:left w:w="0" w:type="dxa"/>
            <w:bottom w:w="0" w:type="dxa"/>
            <w:right w:w="0" w:type="dxa"/>
          </w:tblCellMar>
        </w:tblPrEx>
        <w:trPr>
          <w:cantSplit/>
          <w:trHeight w:val="982" w:hRule="exact"/>
          <w:tblCellSpacing w:w="0" w:type="dxa"/>
        </w:trPr>
        <w:tc>
          <w:tcPr>
            <w:tcW w:w="899" w:type="dxa"/>
            <w:vMerge w:val="continue"/>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4"/>
                <w:szCs w:val="24"/>
                <w:lang w:val="en-US" w:eastAsia="zh-CN"/>
              </w:rPr>
            </w:pPr>
          </w:p>
        </w:tc>
        <w:tc>
          <w:tcPr>
            <w:tcW w:w="491" w:type="dxa"/>
            <w:tcBorders>
              <w:top w:val="outset" w:color="auto" w:sz="6" w:space="0"/>
              <w:bottom w:val="outset" w:color="auto" w:sz="6" w:space="0"/>
            </w:tcBorders>
            <w:noWrap w:val="0"/>
            <w:tcMar>
              <w:top w:w="113" w:type="dxa"/>
              <w:left w:w="0" w:type="dxa"/>
              <w:bottom w:w="113"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w:t>
            </w:r>
          </w:p>
        </w:tc>
        <w:tc>
          <w:tcPr>
            <w:tcW w:w="1299"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widowControl/>
              <w:suppressLineNumbers w:val="0"/>
              <w:jc w:val="center"/>
              <w:textAlignment w:val="bottom"/>
              <w:rPr>
                <w:rFonts w:hint="default" w:ascii="宋体" w:hAnsi="宋体" w:eastAsia="宋体" w:cs="宋体"/>
                <w:i w:val="0"/>
                <w:iCs w:val="0"/>
                <w:color w:val="000000"/>
                <w:kern w:val="0"/>
                <w:sz w:val="15"/>
                <w:szCs w:val="15"/>
                <w:u w:val="none"/>
                <w:lang w:val="en-US" w:eastAsia="zh-CN" w:bidi="ar"/>
              </w:rPr>
            </w:pPr>
          </w:p>
        </w:tc>
        <w:tc>
          <w:tcPr>
            <w:tcW w:w="2482"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widowControl/>
              <w:suppressLineNumbers w:val="0"/>
              <w:jc w:val="center"/>
              <w:textAlignment w:val="bottom"/>
              <w:rPr>
                <w:rFonts w:hint="default" w:ascii="宋体" w:hAnsi="宋体" w:eastAsia="宋体" w:cs="宋体"/>
                <w:kern w:val="2"/>
                <w:sz w:val="15"/>
                <w:szCs w:val="15"/>
                <w:lang w:val="en-US" w:eastAsia="zh-CN" w:bidi="ar-SA"/>
              </w:rPr>
            </w:pPr>
          </w:p>
        </w:tc>
        <w:tc>
          <w:tcPr>
            <w:tcW w:w="3488"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p>
        </w:tc>
        <w:tc>
          <w:tcPr>
            <w:tcW w:w="945"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宋体"/>
                <w:kern w:val="2"/>
                <w:sz w:val="15"/>
                <w:szCs w:val="15"/>
                <w:lang w:val="en-US" w:eastAsia="zh-CN" w:bidi="ar-SA"/>
              </w:rPr>
            </w:pPr>
          </w:p>
        </w:tc>
        <w:tc>
          <w:tcPr>
            <w:tcW w:w="1245"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bottom"/>
              <w:rPr>
                <w:rFonts w:hint="default" w:ascii="宋体" w:hAnsi="宋体" w:eastAsia="宋体" w:cs="宋体"/>
                <w:kern w:val="2"/>
                <w:sz w:val="15"/>
                <w:szCs w:val="15"/>
                <w:lang w:val="en-US" w:eastAsia="zh-CN" w:bidi="ar-SA"/>
              </w:rPr>
            </w:pPr>
          </w:p>
        </w:tc>
        <w:tc>
          <w:tcPr>
            <w:tcW w:w="3041"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p>
        </w:tc>
      </w:tr>
      <w:bookmarkEnd w:id="2"/>
      <w:bookmarkEnd w:id="3"/>
    </w:tbl>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华文中宋">
    <w:altName w:val="宋体"/>
    <w:panose1 w:val="02010600040101010101"/>
    <w:charset w:val="86"/>
    <w:family w:val="auto"/>
    <w:pitch w:val="default"/>
    <w:sig w:usb0="00000000" w:usb1="00000000" w:usb2="00000000" w:usb3="00000000" w:csb0="0004009F" w:csb1="DFD7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187D15"/>
    <w:rsid w:val="14C04FDE"/>
    <w:rsid w:val="2C187D15"/>
    <w:rsid w:val="4E0916A2"/>
    <w:rsid w:val="7D822E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14</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2026-08-20T02:12:00Z</dcterms:created>
  <dc:creator>安好</dc:creator>
  <cp:lastModifiedBy>Administrator</cp:lastModifiedBy>
  <dcterms:modified xsi:type="dcterms:W3CDTF">2026-08-21T02:14:09Z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CB5F4ED2E79940F6A0467D3443592238_11</vt:lpwstr>
  </property>
  <property fmtid="{D5CDD505-2E9C-101B-9397-08002B2CF9AE}" pid="4" name="KSOTemplateDocerSaveRecord">
    <vt:lpwstr>eyJoZGlkIjoiYTNmMWM1NzBmNTcyMDM0MDY2M2JiM2E3YTZjNGJiMDgiLCJ1c2VySWQiOiIxODY4Mzc1NzA1In0=</vt:lpwstr>
  </property>
</Properties>
</file>