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bookmarkStart w:id="0" w:name="_GoBack"/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bookmarkEnd w:id="0"/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</w:t>
      </w:r>
      <w:r>
        <w:rPr>
          <w:rFonts w:hint="eastAsia" w:eastAsia="仿宋"/>
          <w:color w:val="000000"/>
          <w:lang w:val="en-US" w:eastAsia="zh-CN"/>
        </w:rPr>
        <w:t>品为焙烤食品（自制）、米面及其制品（自制）、肉制品（自制）、食用油、油脂及其制品（自制）、饮料（自制）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抽检依据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 xml:space="preserve"> GB 2762-2022《食品安全国家标准 食品中污染物限量》、GB 2760-2024《食品安全国家标准 食品添加剂使用标准》、GB 7099-2015《食品安全国家标准 糕点、面包》、GB 2716-2018《食品安全国家标准 植物油》</w:t>
      </w:r>
      <w:r>
        <w:rPr>
          <w:rFonts w:eastAsia="仿宋"/>
          <w:u w:val="singl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Cs w:val="32"/>
          <w:u w:val="single"/>
        </w:rPr>
        <w:t>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抽检项目</w:t>
      </w:r>
      <w:r>
        <w:rPr>
          <w:rFonts w:hint="eastAsia" w:eastAsia="仿宋"/>
        </w:rPr>
        <w:t>苯甲酸及其钠盐</w:t>
      </w:r>
      <w:r>
        <w:rPr>
          <w:rFonts w:hint="eastAsia" w:eastAsia="仿宋"/>
          <w:lang w:eastAsia="zh-CN"/>
        </w:rPr>
        <w:t>（以苯甲酸计）、</w:t>
      </w:r>
      <w:r>
        <w:rPr>
          <w:rFonts w:hint="eastAsia" w:eastAsia="仿宋"/>
        </w:rPr>
        <w:t>丙酸及其钠盐、钙盐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以丙酸计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过氧化值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以脂肪计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极性组分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亮蓝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铝的残留量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干样品,以Al计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柠檬黄</w:t>
      </w:r>
      <w:r>
        <w:rPr>
          <w:rFonts w:hint="eastAsia" w:eastAsia="仿宋"/>
          <w:lang w:eastAsia="zh-CN"/>
        </w:rPr>
        <w:t>、铅（以Pb计）、</w:t>
      </w:r>
      <w:r>
        <w:rPr>
          <w:rFonts w:hint="eastAsia" w:eastAsia="仿宋"/>
        </w:rPr>
        <w:t>日落黄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山梨酸及其钾盐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以山梨酸计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酸价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以脂肪计</w:t>
      </w:r>
      <w:r>
        <w:rPr>
          <w:rFonts w:hint="eastAsia" w:eastAsia="仿宋"/>
          <w:lang w:eastAsia="zh-CN"/>
        </w:rPr>
        <w:t>）（</w:t>
      </w:r>
      <w:r>
        <w:rPr>
          <w:rFonts w:hint="eastAsia" w:eastAsia="仿宋"/>
        </w:rPr>
        <w:t>KOH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糖精钠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以糖精计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甜蜜素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以环己基氨基磺酸计</w:t>
      </w:r>
      <w:r>
        <w:rPr>
          <w:rFonts w:hint="eastAsia" w:eastAsia="仿宋"/>
          <w:lang w:eastAsia="zh-CN"/>
        </w:rPr>
        <w:t>）、</w:t>
      </w:r>
      <w:r>
        <w:rPr>
          <w:rFonts w:hint="eastAsia" w:eastAsia="仿宋"/>
        </w:rPr>
        <w:t>脱氢乙酸及其钠盐（以脱氢乙酸计）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苋菜红</w:t>
      </w:r>
      <w:r>
        <w:rPr>
          <w:rFonts w:hint="eastAsia" w:eastAsia="仿宋"/>
          <w:lang w:eastAsia="zh-CN"/>
        </w:rPr>
        <w:t>、</w:t>
      </w:r>
      <w:r>
        <w:rPr>
          <w:rFonts w:hint="eastAsia" w:eastAsia="仿宋"/>
        </w:rPr>
        <w:t>胭脂红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等</w:t>
      </w:r>
      <w:r>
        <w:rPr>
          <w:rFonts w:eastAsia="仿宋"/>
        </w:rPr>
        <w:t>指标。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b/>
          <w:bCs/>
        </w:rPr>
      </w:pPr>
      <w:r>
        <w:rPr>
          <w:rFonts w:eastAsia="仿宋"/>
        </w:rPr>
        <w:t>共抽检我</w:t>
      </w:r>
      <w:r>
        <w:rPr>
          <w:rFonts w:hint="eastAsia" w:eastAsia="仿宋"/>
          <w:lang w:val="en-US" w:eastAsia="zh-CN"/>
        </w:rPr>
        <w:t>县16</w:t>
      </w:r>
      <w:r>
        <w:rPr>
          <w:rFonts w:eastAsia="仿宋"/>
        </w:rPr>
        <w:t>家</w:t>
      </w:r>
      <w:r>
        <w:rPr>
          <w:rFonts w:hint="eastAsia" w:eastAsia="仿宋"/>
        </w:rPr>
        <w:t>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21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样品20批次，不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样品1批次。</w:t>
      </w:r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031CC"/>
    <w:rsid w:val="55F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2026-05-11T10:23:00Z</dcterms:created>
  <dc:creator>Administrator</dc:creator>
  <cp:lastModifiedBy>Administrator</cp:lastModifiedBy>
  <dcterms:modified xsi:type="dcterms:W3CDTF">2026-05-11T10:25:01Z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