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塔城地区</w:t>
      </w:r>
      <w:r>
        <w:rPr>
          <w:rFonts w:hint="eastAsia" w:ascii="方正小标宋_GBK" w:hAnsi="黑体" w:eastAsia="方正小标宋_GBK"/>
          <w:color w:val="auto"/>
          <w:sz w:val="38"/>
          <w:szCs w:val="38"/>
        </w:rPr>
        <w:t>生态环境局</w:t>
      </w:r>
    </w:p>
    <w:p>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rPr>
        <w:t>不予行政处罚决定书</w:t>
      </w:r>
    </w:p>
    <w:p>
      <w:pPr>
        <w:adjustRightInd w:val="0"/>
        <w:snapToGrid w:val="0"/>
        <w:jc w:val="center"/>
        <w:rPr>
          <w:rFonts w:hint="eastAsia" w:ascii="方正小标宋_GBK" w:hAnsi="黑体" w:eastAsia="方正小标宋_GBK"/>
          <w:b w:val="0"/>
          <w:bCs w:val="0"/>
          <w:color w:val="auto"/>
          <w:sz w:val="28"/>
          <w:szCs w:val="28"/>
          <w:lang w:val="en-US" w:eastAsia="zh-CN"/>
        </w:rPr>
      </w:pPr>
      <w:r>
        <w:rPr>
          <w:rFonts w:hint="eastAsia" w:ascii="方正小标宋_GBK" w:hAnsi="黑体" w:eastAsia="方正小标宋_GBK"/>
          <w:b w:val="0"/>
          <w:bCs w:val="0"/>
          <w:color w:val="auto"/>
          <w:sz w:val="28"/>
          <w:szCs w:val="28"/>
          <w:lang w:val="en-US" w:eastAsia="zh-CN"/>
        </w:rPr>
        <w:t>塔地环额不罚〔2026〕1号</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bookmarkStart w:id="0" w:name="_GoBack"/>
      <w:r>
        <w:rPr>
          <w:rFonts w:hint="eastAsia" w:ascii="仿宋_GB2312" w:hAnsi="仿宋_GB2312" w:eastAsia="仿宋_GB2312" w:cs="仿宋_GB2312"/>
          <w:kern w:val="2"/>
          <w:sz w:val="30"/>
          <w:szCs w:val="30"/>
          <w:u w:val="none"/>
          <w:lang w:val="en-US" w:eastAsia="zh-CN" w:bidi="ar-SA"/>
        </w:rPr>
        <w:t>当事人名称：额敏县杰勒阿尕什镇阔克塔斯村农合滴灌带厂</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经营者：张大峰</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统一社会信用代码：92654221MA7A4LJB9U</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地址：新疆塔城地区额敏县杰勒阿尕什镇阔克塔斯村108号</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我局于2026年1月27日对你单位进行了调查，发现你单位实施了以下生态环境违法行为：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我局行政执法人员现场检查发现，你单位存在：“未按规定设</w:t>
      </w:r>
      <w:r>
        <w:rPr>
          <w:rFonts w:hint="eastAsia" w:ascii="仿宋_GB2312" w:hAnsi="仿宋_GB2312" w:eastAsia="仿宋_GB2312" w:cs="仿宋_GB2312"/>
          <w:kern w:val="2"/>
          <w:sz w:val="30"/>
          <w:szCs w:val="30"/>
          <w:u w:val="none"/>
          <w:lang w:val="en-US" w:eastAsia="zh-CN" w:bidi="ar-SA"/>
        </w:rPr>
        <w:t>置污染物排放口规范化标志牌”的违法行为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以上事实，有以下主要证据证明：</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证据1：2026年1月27日现场检查（勘察）笔录一份（2026年1月27日 额敏县杰勒阿尕什镇阔克塔斯村农合滴灌带厂 张大峰）、调查询问笔录一份（2026年1月27日 额敏县杰勒阿尕什镇阔克塔斯村农合滴灌带厂 张大峰），用于证实该企业存在两处废气排放口未按规定设置规范化标志牌的违法行为的事实；</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证据2：塔城地区生态环境局行政执法人员王祖明、余有文于2026年1月27日制作的现场勘察平面图，用于证实环境违法行为的真实性；</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证据3：2026年1月27日由张大峰提供的张大峰身份证复印件，用于证实现场检查（勘察）笔录、调查询问笔录（张大峰）具有法律效力；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证据4：2026年1月27日由张大峰提供的违法主体营业执照，用于证实违法行为主体的身份；</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证据5：现场照片证据、现场调查影像资料，用于证实企业正常经营生产，证实违法行为的真实性；</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证据6：2026年1月27日由张大峰提供的额敏县杰勒阿尕什镇阔克塔斯村农合滴灌带厂竣工环境保护验收意见，用于证实该企业有两处废气排放口的事实及真实情况；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证据7：2026年1月27日由张大峰提供的额敏县杰勒阿尕什镇阔克塔斯村农合滴灌带厂2024年12月31日检测报告，用于证实该企业有两处废气排放口的事实及真实情况；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8：2026年2月6日由张大峰提供的额敏县杰勒阿尕什镇阔克塔斯村农合滴灌带厂排污许可证正本，用于证实企业系合法持证排污单位，依法应当履行排污许可管理要求，按规定设置排放口规范化标志牌的法定义务；</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证据9：2026年2月6日由张大峰提供的整改报告，证实企业违法行为轻微并及时改正，没有造成危害后果。</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你单位的上述行为违反了《排污许可管理条例》第十八条“排污单位应当按照生态环境主管部门的规定建设规范化污染物排放口，并设置标志牌”的规定。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依据《中华人民共和国行政处罚法》第三十三条“违法行为轻微并及时改正，没有造成危害后果的，不予行政处罚”的规定，你单位的该违法行为属于轻微违法并及时改正，我局决定对你单位该行为不予行政处罚。</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你单位如不服本处罚决定，可在收到本处罚决定书之日起六十日内向塔城地区行政公署申请行政复议，也可以在六个月内向乌鲁木齐铁路运输法院提起行政诉讼。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依据《中华人民共和国行政处罚法》第三十三条第三款的规定，对你单位进行教育，具体内容如下：责令额敏县杰勒阿尕什镇阔克塔斯村农合滴灌带厂相关人员加强环保法律法规学习，提高环保意识，不再出现类似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kern w:val="2"/>
          <w:sz w:val="30"/>
          <w:szCs w:val="30"/>
          <w:u w:val="none"/>
          <w:lang w:val="en-US" w:eastAsia="zh-CN" w:bidi="ar-SA"/>
        </w:rPr>
      </w:pPr>
    </w:p>
    <w:p>
      <w:pPr>
        <w:adjustRightInd w:val="0"/>
        <w:snapToGrid w:val="0"/>
        <w:spacing w:line="360" w:lineRule="auto"/>
        <w:rPr>
          <w:rFonts w:hint="eastAsia" w:ascii="仿宋_GB2312" w:hAnsi="仿宋_GB2312" w:eastAsia="仿宋_GB2312" w:cs="仿宋_GB2312"/>
          <w:kern w:val="2"/>
          <w:sz w:val="30"/>
          <w:szCs w:val="30"/>
          <w:u w:val="none"/>
          <w:lang w:val="en-US" w:eastAsia="zh-CN" w:bidi="ar-SA"/>
        </w:rPr>
      </w:pPr>
    </w:p>
    <w:p>
      <w:pPr>
        <w:adjustRightInd w:val="0"/>
        <w:snapToGrid w:val="0"/>
        <w:spacing w:line="360" w:lineRule="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 xml:space="preserve">                     </w:t>
      </w:r>
    </w:p>
    <w:p>
      <w:pPr>
        <w:adjustRightInd w:val="0"/>
        <w:snapToGrid w:val="0"/>
        <w:spacing w:line="360" w:lineRule="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 xml:space="preserve">                             塔城地区生态环境局（印章）</w:t>
      </w:r>
    </w:p>
    <w:p>
      <w:pPr>
        <w:adjustRightInd w:val="0"/>
        <w:snapToGrid w:val="0"/>
        <w:spacing w:line="360" w:lineRule="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 xml:space="preserve">                                      年  月  </w:t>
      </w:r>
      <w:bookmarkEnd w:id="0"/>
      <w:r>
        <w:rPr>
          <w:rFonts w:hint="eastAsia" w:ascii="仿宋_GB2312" w:hAnsi="仿宋_GB2312" w:eastAsia="仿宋_GB2312" w:cs="仿宋_GB2312"/>
          <w:kern w:val="2"/>
          <w:sz w:val="30"/>
          <w:szCs w:val="30"/>
          <w:u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C0FFA"/>
    <w:rsid w:val="0680683B"/>
    <w:rsid w:val="0A5E4142"/>
    <w:rsid w:val="0AE20644"/>
    <w:rsid w:val="0B550B0F"/>
    <w:rsid w:val="0B8E7D66"/>
    <w:rsid w:val="0D030681"/>
    <w:rsid w:val="0F157098"/>
    <w:rsid w:val="0FD03043"/>
    <w:rsid w:val="11265F68"/>
    <w:rsid w:val="114F703B"/>
    <w:rsid w:val="11D7225F"/>
    <w:rsid w:val="121D1A98"/>
    <w:rsid w:val="15B17864"/>
    <w:rsid w:val="1964413C"/>
    <w:rsid w:val="197E65D9"/>
    <w:rsid w:val="1A346C1E"/>
    <w:rsid w:val="1E3D1F8F"/>
    <w:rsid w:val="20C938C2"/>
    <w:rsid w:val="224C47AB"/>
    <w:rsid w:val="24937387"/>
    <w:rsid w:val="25311A36"/>
    <w:rsid w:val="27277649"/>
    <w:rsid w:val="273F255F"/>
    <w:rsid w:val="285F5AEA"/>
    <w:rsid w:val="2F1750CC"/>
    <w:rsid w:val="312968A9"/>
    <w:rsid w:val="32A4518F"/>
    <w:rsid w:val="345715D9"/>
    <w:rsid w:val="35A15467"/>
    <w:rsid w:val="35D775AB"/>
    <w:rsid w:val="38043ABB"/>
    <w:rsid w:val="3CBE5E4E"/>
    <w:rsid w:val="3DE9514C"/>
    <w:rsid w:val="413D2055"/>
    <w:rsid w:val="44BF1CC9"/>
    <w:rsid w:val="46144678"/>
    <w:rsid w:val="49F446CD"/>
    <w:rsid w:val="4A053998"/>
    <w:rsid w:val="4D974380"/>
    <w:rsid w:val="50924FD9"/>
    <w:rsid w:val="509C4EC7"/>
    <w:rsid w:val="50D76C9A"/>
    <w:rsid w:val="527A416D"/>
    <w:rsid w:val="53007443"/>
    <w:rsid w:val="548E39E5"/>
    <w:rsid w:val="568B3077"/>
    <w:rsid w:val="57757D1E"/>
    <w:rsid w:val="5B08233D"/>
    <w:rsid w:val="5FAC75E2"/>
    <w:rsid w:val="5FCC2AA9"/>
    <w:rsid w:val="60AC408B"/>
    <w:rsid w:val="68E50428"/>
    <w:rsid w:val="6E3044BF"/>
    <w:rsid w:val="70D56CE6"/>
    <w:rsid w:val="70EA4A25"/>
    <w:rsid w:val="76686E90"/>
    <w:rsid w:val="77346781"/>
    <w:rsid w:val="7C181B0B"/>
    <w:rsid w:val="7CF65E57"/>
    <w:rsid w:val="7CF72961"/>
    <w:rsid w:val="7FBB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0" w:leftChars="0" w:firstLine="0" w:firstLineChars="0"/>
      <w:jc w:val="left"/>
    </w:pPr>
    <w:rPr>
      <w:rFonts w:ascii="仿宋" w:hAnsi="仿宋" w:eastAsia="仿宋" w:cs="仿宋"/>
      <w:sz w:val="18"/>
      <w:szCs w:val="18"/>
    </w:rPr>
  </w:style>
  <w:style w:type="paragraph" w:styleId="3">
    <w:name w:val="Body Text"/>
    <w:basedOn w:val="1"/>
    <w:qFormat/>
    <w:uiPriority w:val="1"/>
    <w:rPr>
      <w:rFonts w:ascii="仿宋_GB2312" w:hAns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1517</Characters>
  <Lines>0</Lines>
  <Paragraphs>0</Paragraphs>
  <TotalTime>12</TotalTime>
  <ScaleCrop>false</ScaleCrop>
  <LinksUpToDate>false</LinksUpToDate>
  <CharactersWithSpaces>1777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2026-05-12T10:10:28Z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eyJoZGlkIjoiODhjN2I3OGFhNzBkZDc0YWUwMjZkNTZmYjIxNzc3NWYiLCJ1c2VySWQiOiIxNzQ3MDI1OTEwIn0=</vt:lpwstr>
  </property>
  <property fmtid="{D5CDD505-2E9C-101B-9397-08002B2CF9AE}" pid="4" name="ICV">
    <vt:lpwstr>E7297DF331D6432694BD719DB08847B1_12</vt:lpwstr>
  </property>
</Properties>
</file>