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4"/>
      <w:bookmarkStart w:id="2" w:name="OLE_LINK1"/>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w:t>
      </w:r>
      <w:bookmarkStart w:id="4" w:name="_GoBack"/>
      <w:bookmarkEnd w:id="4"/>
      <w:r>
        <w:rPr>
          <w:rFonts w:hint="eastAsia" w:ascii="华文中宋" w:hAnsi="华文中宋" w:eastAsia="华文中宋" w:cs="华文中宋"/>
          <w:b/>
          <w:bCs/>
          <w:kern w:val="0"/>
          <w:sz w:val="56"/>
          <w:szCs w:val="56"/>
          <w:lang w:val="en-US" w:eastAsia="zh-CN"/>
        </w:rPr>
        <w:t>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5号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2026年2</w:t>
      </w:r>
      <w:r>
        <w:rPr>
          <w:rFonts w:hint="eastAsia" w:ascii="宋体" w:hAnsi="宋体" w:cs="宋体"/>
          <w:b/>
          <w:bCs/>
          <w:kern w:val="0"/>
          <w:sz w:val="32"/>
          <w:szCs w:val="32"/>
        </w:rPr>
        <w:t>月</w:t>
      </w:r>
      <w:r>
        <w:rPr>
          <w:rFonts w:hint="eastAsia" w:ascii="宋体" w:hAnsi="宋体" w:cs="宋体"/>
          <w:b/>
          <w:bCs/>
          <w:kern w:val="0"/>
          <w:sz w:val="32"/>
          <w:szCs w:val="32"/>
          <w:lang w:val="en-US" w:eastAsia="zh-CN"/>
        </w:rPr>
        <w:t>4日至2026年2月11日</w:t>
      </w:r>
    </w:p>
    <w:p w14:paraId="667F5E43">
      <w:pPr>
        <w:widowControl/>
        <w:ind w:right="960"/>
        <w:rPr>
          <w:rFonts w:hint="default" w:ascii="宋体" w:hAnsi="宋体" w:eastAsia="宋体" w:cs="宋体"/>
          <w:kern w:val="0"/>
          <w:sz w:val="24"/>
          <w:szCs w:val="24"/>
          <w:lang w:val="en-US" w:eastAsia="zh-CN"/>
        </w:rPr>
      </w:pPr>
      <w:r>
        <w:rPr>
          <w:rFonts w:ascii="宋体" w:hAnsi="宋体" w:cs="宋体"/>
          <w:kern w:val="0"/>
          <w:sz w:val="24"/>
          <w:szCs w:val="24"/>
        </w:rPr>
        <w:t>填报单位：</w:t>
      </w:r>
      <w:bookmarkStart w:id="3" w:name="OLE_LINK3"/>
      <w:r>
        <w:rPr>
          <w:rFonts w:hint="eastAsia" w:ascii="宋体" w:hAnsi="宋体" w:cs="宋体"/>
          <w:kern w:val="0"/>
          <w:sz w:val="24"/>
          <w:szCs w:val="24"/>
        </w:rPr>
        <w:t>额</w:t>
      </w:r>
      <w:r>
        <w:rPr>
          <w:rFonts w:ascii="宋体" w:hAnsi="宋体" w:cs="宋体"/>
          <w:kern w:val="0"/>
          <w:sz w:val="24"/>
          <w:szCs w:val="24"/>
        </w:rPr>
        <w:t>敏县</w:t>
      </w:r>
      <w:r>
        <w:rPr>
          <w:rFonts w:hint="eastAsia" w:ascii="宋体" w:hAnsi="宋体" w:cs="宋体"/>
          <w:kern w:val="0"/>
          <w:sz w:val="24"/>
          <w:szCs w:val="24"/>
          <w:lang w:val="en-US" w:eastAsia="zh-CN"/>
        </w:rPr>
        <w:t>交通运输局</w:t>
      </w:r>
      <w:bookmarkEnd w:id="3"/>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填报日期：</w:t>
      </w:r>
      <w:r>
        <w:rPr>
          <w:rFonts w:hint="eastAsia" w:ascii="宋体" w:hAnsi="宋体" w:cs="宋体"/>
          <w:kern w:val="0"/>
          <w:sz w:val="24"/>
          <w:szCs w:val="24"/>
          <w:lang w:val="en-US" w:eastAsia="zh-CN"/>
        </w:rPr>
        <w:t>2026年2月 11 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2646"/>
        <w:gridCol w:w="3294"/>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2646"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3294"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日</w:t>
            </w:r>
          </w:p>
        </w:tc>
        <w:tc>
          <w:tcPr>
            <w:tcW w:w="2646"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平娃尼什·别</w:t>
            </w:r>
            <w:r>
              <w:rPr>
                <w:rFonts w:hint="eastAsia" w:ascii="宋体" w:hAnsi="宋体" w:eastAsia="宋体" w:cs="宋体"/>
                <w:kern w:val="2"/>
                <w:sz w:val="15"/>
                <w:szCs w:val="15"/>
                <w:lang w:val="en-US" w:eastAsia="zh-CN" w:bidi="ar-SA"/>
              </w:rPr>
              <w:t>克</w:t>
            </w:r>
            <w:r>
              <w:rPr>
                <w:rFonts w:hint="eastAsia" w:ascii="宋体" w:hAnsi="宋体" w:cs="宋体"/>
                <w:kern w:val="2"/>
                <w:sz w:val="15"/>
                <w:szCs w:val="15"/>
                <w:lang w:val="en-US" w:eastAsia="zh-CN" w:bidi="ar-SA"/>
              </w:rPr>
              <w:t>木哈买提</w:t>
            </w:r>
          </w:p>
        </w:tc>
        <w:tc>
          <w:tcPr>
            <w:tcW w:w="3294"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平娃尼什·别</w:t>
            </w:r>
            <w:r>
              <w:rPr>
                <w:rFonts w:hint="eastAsia" w:ascii="宋体" w:hAnsi="宋体" w:eastAsia="宋体" w:cs="宋体"/>
                <w:kern w:val="2"/>
                <w:sz w:val="15"/>
                <w:szCs w:val="15"/>
                <w:lang w:val="en-US" w:eastAsia="zh-CN" w:bidi="ar-SA"/>
              </w:rPr>
              <w:t>克</w:t>
            </w:r>
            <w:r>
              <w:rPr>
                <w:rFonts w:hint="eastAsia" w:ascii="宋体" w:hAnsi="宋体" w:cs="宋体"/>
                <w:kern w:val="2"/>
                <w:sz w:val="15"/>
                <w:szCs w:val="15"/>
                <w:lang w:val="en-US" w:eastAsia="zh-CN" w:bidi="ar-SA"/>
              </w:rPr>
              <w:t>木哈买提</w:t>
            </w:r>
            <w:r>
              <w:rPr>
                <w:rFonts w:hint="eastAsia" w:ascii="宋体" w:hAnsi="宋体" w:eastAsia="宋体" w:cs="宋体"/>
                <w:kern w:val="2"/>
                <w:sz w:val="15"/>
                <w:szCs w:val="15"/>
                <w:lang w:val="en-US" w:eastAsia="zh-CN" w:bidi="ar-SA"/>
              </w:rPr>
              <w:t>未取得道路客运经营许可，擅自从事道路客运经营案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是</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w:t>
            </w:r>
            <w:r>
              <w:rPr>
                <w:rFonts w:hint="eastAsia" w:ascii="宋体" w:hAnsi="宋体" w:cs="宋体"/>
                <w:kern w:val="2"/>
                <w:sz w:val="15"/>
                <w:szCs w:val="15"/>
                <w:lang w:val="en-US" w:eastAsia="zh-CN" w:bidi="ar-SA"/>
              </w:rPr>
              <w:t>0000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w:t>
            </w:r>
            <w:r>
              <w:rPr>
                <w:rFonts w:hint="eastAsia" w:ascii="宋体" w:hAnsi="宋体" w:cs="宋体"/>
                <w:kern w:val="2"/>
                <w:sz w:val="15"/>
                <w:szCs w:val="15"/>
                <w:lang w:val="en-US" w:eastAsia="zh-CN" w:bidi="ar-SA"/>
              </w:rPr>
              <w:t>2</w:t>
            </w:r>
            <w:r>
              <w:rPr>
                <w:rFonts w:hint="eastAsia" w:ascii="宋体" w:hAnsi="宋体" w:eastAsia="宋体" w:cs="宋体"/>
                <w:kern w:val="2"/>
                <w:sz w:val="15"/>
                <w:szCs w:val="15"/>
                <w:lang w:val="en-US" w:eastAsia="zh-CN" w:bidi="ar-SA"/>
              </w:rPr>
              <w:t>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11</w:t>
            </w:r>
            <w:r>
              <w:rPr>
                <w:rFonts w:hint="eastAsia" w:ascii="宋体" w:hAnsi="宋体" w:eastAsia="宋体" w:cs="宋体"/>
                <w:i w:val="0"/>
                <w:iCs w:val="0"/>
                <w:color w:val="000000"/>
                <w:kern w:val="0"/>
                <w:sz w:val="15"/>
                <w:szCs w:val="15"/>
                <w:u w:val="none"/>
                <w:lang w:val="en-US" w:eastAsia="zh-CN" w:bidi="ar"/>
              </w:rPr>
              <w:t>日</w:t>
            </w:r>
          </w:p>
        </w:tc>
        <w:tc>
          <w:tcPr>
            <w:tcW w:w="2646"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w:t>
            </w:r>
          </w:p>
        </w:tc>
        <w:tc>
          <w:tcPr>
            <w:tcW w:w="3294"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额敏县鸿运驾驶培训有限责任公司机动车驾驶员培训机构的教练车未按照规定参加车辆年度审验</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w:t>
            </w:r>
            <w:r>
              <w:rPr>
                <w:rFonts w:hint="eastAsia" w:ascii="宋体" w:hAnsi="宋体" w:cs="宋体"/>
                <w:kern w:val="2"/>
                <w:sz w:val="15"/>
                <w:szCs w:val="15"/>
                <w:lang w:val="en-US" w:eastAsia="zh-CN" w:bidi="ar-SA"/>
              </w:rPr>
              <w:t>简</w:t>
            </w:r>
            <w:r>
              <w:rPr>
                <w:rFonts w:hint="eastAsia" w:ascii="宋体" w:hAnsi="宋体" w:eastAsia="宋体" w:cs="宋体"/>
                <w:kern w:val="2"/>
                <w:sz w:val="15"/>
                <w:szCs w:val="15"/>
                <w:lang w:val="en-US" w:eastAsia="zh-CN" w:bidi="ar-SA"/>
              </w:rPr>
              <w:t>〔2026〕000</w:t>
            </w:r>
            <w:r>
              <w:rPr>
                <w:rFonts w:hint="eastAsia" w:ascii="宋体" w:hAnsi="宋体" w:cs="宋体"/>
                <w:kern w:val="2"/>
                <w:sz w:val="15"/>
                <w:szCs w:val="15"/>
                <w:lang w:val="en-US" w:eastAsia="zh-CN" w:bidi="ar-SA"/>
              </w:rPr>
              <w:t>13</w:t>
            </w:r>
            <w:r>
              <w:rPr>
                <w:rFonts w:hint="eastAsia" w:ascii="宋体" w:hAnsi="宋体" w:eastAsia="宋体" w:cs="宋体"/>
                <w:kern w:val="2"/>
                <w:sz w:val="15"/>
                <w:szCs w:val="15"/>
                <w:lang w:val="en-US" w:eastAsia="zh-CN" w:bidi="ar-SA"/>
              </w:rPr>
              <w:t>号</w:t>
            </w:r>
          </w:p>
        </w:tc>
      </w:tr>
      <w:tr w14:paraId="70540A7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vMerge w:val="continue"/>
            <w:noWrap w:val="0"/>
            <w:vAlign w:val="center"/>
          </w:tcPr>
          <w:p w14:paraId="57F40FF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A87B0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7B584589">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2026年2月11日</w:t>
            </w:r>
          </w:p>
        </w:tc>
        <w:tc>
          <w:tcPr>
            <w:tcW w:w="2646" w:type="dxa"/>
            <w:tcBorders>
              <w:top w:val="outset" w:color="auto" w:sz="6" w:space="0"/>
              <w:bottom w:val="outset" w:color="auto" w:sz="6" w:space="0"/>
            </w:tcBorders>
            <w:shd w:val="clear" w:color="auto" w:fill="auto"/>
            <w:noWrap w:val="0"/>
            <w:vAlign w:val="center"/>
          </w:tcPr>
          <w:p w14:paraId="7D76DB24">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新疆兴塔运输（集团）额敏县鸿运运输有限责任公司</w:t>
            </w:r>
          </w:p>
        </w:tc>
        <w:tc>
          <w:tcPr>
            <w:tcW w:w="3294" w:type="dxa"/>
            <w:tcBorders>
              <w:top w:val="outset" w:color="auto" w:sz="6" w:space="0"/>
              <w:bottom w:val="outset" w:color="auto" w:sz="6" w:space="0"/>
            </w:tcBorders>
            <w:shd w:val="clear" w:color="auto" w:fill="auto"/>
            <w:noWrap w:val="0"/>
            <w:vAlign w:val="center"/>
          </w:tcPr>
          <w:p w14:paraId="712522E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E77D61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道路运输经营者未按照规定的周期和频次进行车辆检验检测案</w:t>
            </w:r>
          </w:p>
        </w:tc>
        <w:tc>
          <w:tcPr>
            <w:tcW w:w="810" w:type="dxa"/>
            <w:tcBorders>
              <w:top w:val="outset" w:color="auto" w:sz="6" w:space="0"/>
              <w:bottom w:val="outset" w:color="auto" w:sz="6" w:space="0"/>
            </w:tcBorders>
            <w:shd w:val="clear" w:color="auto" w:fill="auto"/>
            <w:noWrap w:val="0"/>
            <w:vAlign w:val="center"/>
          </w:tcPr>
          <w:p w14:paraId="6FCC823A">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5250075">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5F035CC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264AAE0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新塔额交执运政〔2026〕0005号</w:t>
            </w:r>
          </w:p>
        </w:tc>
      </w:tr>
      <w:tr w14:paraId="506C489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3F6D90B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B79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275E59F2">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p>
        </w:tc>
        <w:tc>
          <w:tcPr>
            <w:tcW w:w="2646" w:type="dxa"/>
            <w:tcBorders>
              <w:top w:val="outset" w:color="auto" w:sz="6" w:space="0"/>
              <w:bottom w:val="outset" w:color="auto" w:sz="6" w:space="0"/>
            </w:tcBorders>
            <w:shd w:val="clear" w:color="auto" w:fill="auto"/>
            <w:noWrap w:val="0"/>
            <w:vAlign w:val="center"/>
          </w:tcPr>
          <w:p w14:paraId="4F03F8FB">
            <w:pPr>
              <w:keepNext w:val="0"/>
              <w:keepLines w:val="0"/>
              <w:widowControl/>
              <w:suppressLineNumbers w:val="0"/>
              <w:ind w:firstLine="400" w:firstLineChars="200"/>
              <w:jc w:val="center"/>
              <w:textAlignment w:val="bottom"/>
              <w:rPr>
                <w:rFonts w:hint="eastAsia" w:ascii="宋体" w:hAnsi="宋体" w:eastAsia="宋体" w:cs="宋体"/>
                <w:kern w:val="2"/>
                <w:sz w:val="20"/>
                <w:szCs w:val="20"/>
                <w:lang w:val="en-US" w:eastAsia="zh-CN" w:bidi="ar-SA"/>
              </w:rPr>
            </w:pPr>
          </w:p>
        </w:tc>
        <w:tc>
          <w:tcPr>
            <w:tcW w:w="3294" w:type="dxa"/>
            <w:tcBorders>
              <w:top w:val="outset" w:color="auto" w:sz="6" w:space="0"/>
              <w:bottom w:val="outset" w:color="auto" w:sz="6" w:space="0"/>
            </w:tcBorders>
            <w:shd w:val="clear" w:color="auto" w:fill="auto"/>
            <w:noWrap w:val="0"/>
            <w:vAlign w:val="center"/>
          </w:tcPr>
          <w:p w14:paraId="5A637D2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605B0EEC">
            <w:pPr>
              <w:jc w:val="center"/>
              <w:rPr>
                <w:rFonts w:hint="default"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1BC039BB">
            <w:pPr>
              <w:keepNext w:val="0"/>
              <w:keepLines w:val="0"/>
              <w:widowControl/>
              <w:suppressLineNumbers w:val="0"/>
              <w:jc w:val="center"/>
              <w:textAlignment w:val="bottom"/>
              <w:rPr>
                <w:rFonts w:hint="default" w:ascii="宋体" w:hAnsi="宋体" w:cs="宋体"/>
                <w:kern w:val="2"/>
                <w:sz w:val="15"/>
                <w:szCs w:val="15"/>
                <w:lang w:val="en-US" w:eastAsia="zh-CN" w:bidi="ar-SA"/>
              </w:rPr>
            </w:pPr>
          </w:p>
        </w:tc>
        <w:tc>
          <w:tcPr>
            <w:tcW w:w="3435" w:type="dxa"/>
            <w:tcBorders>
              <w:top w:val="outset" w:color="auto" w:sz="6" w:space="0"/>
              <w:bottom w:val="outset" w:color="auto" w:sz="6" w:space="0"/>
            </w:tcBorders>
            <w:shd w:val="clear" w:color="auto" w:fill="auto"/>
            <w:noWrap w:val="0"/>
            <w:vAlign w:val="center"/>
          </w:tcPr>
          <w:p w14:paraId="2EA6B7C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14:paraId="183BD3A1">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3F4CB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654756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35342A03">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p>
        </w:tc>
        <w:tc>
          <w:tcPr>
            <w:tcW w:w="2646" w:type="dxa"/>
            <w:tcBorders>
              <w:top w:val="outset" w:color="auto" w:sz="6" w:space="0"/>
              <w:bottom w:val="outset" w:color="auto" w:sz="6" w:space="0"/>
            </w:tcBorders>
            <w:shd w:val="clear" w:color="auto" w:fill="auto"/>
            <w:noWrap w:val="0"/>
            <w:vAlign w:val="center"/>
          </w:tcPr>
          <w:p w14:paraId="254DB1E9">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p>
        </w:tc>
        <w:tc>
          <w:tcPr>
            <w:tcW w:w="3294" w:type="dxa"/>
            <w:tcBorders>
              <w:top w:val="outset" w:color="auto" w:sz="6" w:space="0"/>
              <w:bottom w:val="outset" w:color="auto" w:sz="6" w:space="0"/>
            </w:tcBorders>
            <w:shd w:val="clear" w:color="auto" w:fill="auto"/>
            <w:noWrap w:val="0"/>
            <w:vAlign w:val="center"/>
          </w:tcPr>
          <w:p w14:paraId="22150DC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24939661">
            <w:pPr>
              <w:jc w:val="center"/>
              <w:rPr>
                <w:rFonts w:hint="eastAsia"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6BCB1300">
            <w:pPr>
              <w:keepNext w:val="0"/>
              <w:keepLines w:val="0"/>
              <w:widowControl/>
              <w:suppressLineNumbers w:val="0"/>
              <w:jc w:val="center"/>
              <w:textAlignment w:val="bottom"/>
              <w:rPr>
                <w:rFonts w:hint="eastAsia" w:ascii="宋体" w:hAnsi="宋体" w:cs="宋体"/>
                <w:kern w:val="2"/>
                <w:sz w:val="15"/>
                <w:szCs w:val="15"/>
                <w:lang w:val="en-US" w:eastAsia="zh-CN" w:bidi="ar-SA"/>
              </w:rPr>
            </w:pPr>
          </w:p>
        </w:tc>
        <w:tc>
          <w:tcPr>
            <w:tcW w:w="3435" w:type="dxa"/>
            <w:tcBorders>
              <w:top w:val="outset" w:color="auto" w:sz="6" w:space="0"/>
              <w:bottom w:val="outset" w:color="auto" w:sz="6" w:space="0"/>
            </w:tcBorders>
            <w:shd w:val="clear" w:color="auto" w:fill="auto"/>
            <w:noWrap w:val="0"/>
            <w:vAlign w:val="center"/>
          </w:tcPr>
          <w:p w14:paraId="5DF8B5B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tr w14:paraId="725AC9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1ECC0E9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DA520A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p>
        </w:tc>
        <w:tc>
          <w:tcPr>
            <w:tcW w:w="1145" w:type="dxa"/>
            <w:tcBorders>
              <w:top w:val="outset" w:color="auto" w:sz="6" w:space="0"/>
              <w:bottom w:val="outset" w:color="auto" w:sz="6" w:space="0"/>
            </w:tcBorders>
            <w:shd w:val="clear" w:color="auto" w:fill="auto"/>
            <w:noWrap w:val="0"/>
            <w:vAlign w:val="center"/>
          </w:tcPr>
          <w:p w14:paraId="2FB7BFDD">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p>
        </w:tc>
        <w:tc>
          <w:tcPr>
            <w:tcW w:w="2646" w:type="dxa"/>
            <w:tcBorders>
              <w:top w:val="outset" w:color="auto" w:sz="6" w:space="0"/>
              <w:bottom w:val="outset" w:color="auto" w:sz="6" w:space="0"/>
            </w:tcBorders>
            <w:shd w:val="clear" w:color="auto" w:fill="auto"/>
            <w:noWrap w:val="0"/>
            <w:vAlign w:val="center"/>
          </w:tcPr>
          <w:p w14:paraId="03D9EBF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p>
        </w:tc>
        <w:tc>
          <w:tcPr>
            <w:tcW w:w="3294" w:type="dxa"/>
            <w:tcBorders>
              <w:top w:val="outset" w:color="auto" w:sz="6" w:space="0"/>
              <w:bottom w:val="outset" w:color="auto" w:sz="6" w:space="0"/>
            </w:tcBorders>
            <w:shd w:val="clear" w:color="auto" w:fill="auto"/>
            <w:noWrap w:val="0"/>
            <w:vAlign w:val="center"/>
          </w:tcPr>
          <w:p w14:paraId="057CAB8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c>
          <w:tcPr>
            <w:tcW w:w="810" w:type="dxa"/>
            <w:tcBorders>
              <w:top w:val="outset" w:color="auto" w:sz="6" w:space="0"/>
              <w:bottom w:val="outset" w:color="auto" w:sz="6" w:space="0"/>
            </w:tcBorders>
            <w:shd w:val="clear" w:color="auto" w:fill="auto"/>
            <w:noWrap w:val="0"/>
            <w:vAlign w:val="center"/>
          </w:tcPr>
          <w:p w14:paraId="46498CBB">
            <w:pPr>
              <w:jc w:val="center"/>
              <w:rPr>
                <w:rFonts w:hint="eastAsia" w:ascii="宋体" w:hAnsi="宋体" w:cs="宋体"/>
                <w:kern w:val="2"/>
                <w:sz w:val="15"/>
                <w:szCs w:val="15"/>
                <w:lang w:val="en-US" w:eastAsia="zh-CN" w:bidi="ar-SA"/>
              </w:rPr>
            </w:pPr>
          </w:p>
        </w:tc>
        <w:tc>
          <w:tcPr>
            <w:tcW w:w="1170" w:type="dxa"/>
            <w:tcBorders>
              <w:top w:val="outset" w:color="auto" w:sz="6" w:space="0"/>
              <w:bottom w:val="outset" w:color="auto" w:sz="6" w:space="0"/>
            </w:tcBorders>
            <w:shd w:val="clear" w:color="auto" w:fill="auto"/>
            <w:noWrap w:val="0"/>
            <w:vAlign w:val="center"/>
          </w:tcPr>
          <w:p w14:paraId="2DD1EAC8">
            <w:pPr>
              <w:keepNext w:val="0"/>
              <w:keepLines w:val="0"/>
              <w:widowControl/>
              <w:suppressLineNumbers w:val="0"/>
              <w:jc w:val="center"/>
              <w:textAlignment w:val="bottom"/>
              <w:rPr>
                <w:rFonts w:hint="eastAsia" w:ascii="宋体" w:hAnsi="宋体" w:cs="宋体"/>
                <w:kern w:val="2"/>
                <w:sz w:val="15"/>
                <w:szCs w:val="15"/>
                <w:lang w:val="en-US" w:eastAsia="zh-CN" w:bidi="ar-SA"/>
              </w:rPr>
            </w:pPr>
          </w:p>
        </w:tc>
        <w:tc>
          <w:tcPr>
            <w:tcW w:w="3435" w:type="dxa"/>
            <w:tcBorders>
              <w:top w:val="outset" w:color="auto" w:sz="6" w:space="0"/>
              <w:bottom w:val="outset" w:color="auto" w:sz="6" w:space="0"/>
            </w:tcBorders>
            <w:shd w:val="clear" w:color="auto" w:fill="auto"/>
            <w:noWrap w:val="0"/>
            <w:vAlign w:val="center"/>
          </w:tcPr>
          <w:p w14:paraId="10D8359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tc>
      </w:tr>
      <w:bookmarkEnd w:id="1"/>
      <w:bookmarkEnd w:id="2"/>
    </w:tbl>
    <w:p w14:paraId="4BA229B1">
      <w:pPr>
        <w:jc w:val="both"/>
        <w:rPr>
          <w:lang w:val="en-US" w:eastAsia="zh-CN"/>
        </w:rPr>
      </w:pPr>
    </w:p>
    <w:p w14:paraId="510815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B6E2E"/>
    <w:rsid w:val="569B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2026-02-11T08:12:00Z</dcterms:created>
  <dc:creator>hetui</dc:creator>
  <cp:lastModifiedBy>hetui</cp:lastModifiedBy>
  <cp:lastPrinted>2026-02-11T08:23:57Z</cp:lastPrinted>
  <dcterms:modified xsi:type="dcterms:W3CDTF">2026-02-11T09:03:42Z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996372E147584A1BB7865F845328184C_11</vt:lpwstr>
  </property>
  <property fmtid="{D5CDD505-2E9C-101B-9397-08002B2CF9AE}" pid="4" name="KSOTemplateDocerSaveRecord">
    <vt:lpwstr>eyJoZGlkIjoiYTNmMWM1NzBmNTcyMDM0MDY2M2JiM2E3YTZjNGJiMDgiLCJ1c2VySWQiOiI2NjI1OTQwMzQifQ==</vt:lpwstr>
  </property>
</Properties>
</file>