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黑体" w:eastAsia="方正小标宋_GBK"/>
          <w:color w:val="auto"/>
          <w:sz w:val="38"/>
          <w:szCs w:val="38"/>
        </w:rPr>
      </w:pPr>
      <w:r>
        <w:rPr>
          <w:rFonts w:hint="eastAsia" w:ascii="方正小标宋_GBK" w:hAnsi="黑体" w:eastAsia="方正小标宋_GBK"/>
          <w:color w:val="auto"/>
          <w:sz w:val="38"/>
          <w:szCs w:val="38"/>
          <w:lang w:val="en-US" w:eastAsia="zh-CN"/>
        </w:rPr>
        <w:t>塔城地区</w:t>
      </w:r>
      <w:r>
        <w:rPr>
          <w:rFonts w:hint="eastAsia" w:ascii="方正小标宋_GBK" w:hAnsi="黑体" w:eastAsia="方正小标宋_GBK"/>
          <w:color w:val="auto"/>
          <w:sz w:val="38"/>
          <w:szCs w:val="38"/>
        </w:rPr>
        <w:t>生态环境局不予行政处罚决定书</w:t>
      </w:r>
    </w:p>
    <w:p>
      <w:pPr>
        <w:adjustRightInd w:val="0"/>
        <w:snapToGrid w:val="0"/>
        <w:spacing w:before="249" w:beforeLines="80"/>
        <w:jc w:val="right"/>
        <w:rPr>
          <w:rFonts w:hint="eastAsia" w:ascii="楷体_GB2312" w:hAnsi="宋体" w:eastAsia="楷体_GB2312"/>
          <w:sz w:val="32"/>
          <w:szCs w:val="32"/>
          <w:u w:val="none"/>
        </w:rPr>
      </w:pPr>
      <w:r>
        <w:rPr>
          <w:rFonts w:hint="eastAsia" w:ascii="楷体_GB2312" w:hAnsi="宋体" w:eastAsia="楷体_GB2312"/>
          <w:sz w:val="32"/>
          <w:szCs w:val="32"/>
          <w:u w:val="none"/>
          <w:lang w:val="en-US" w:eastAsia="zh-CN"/>
        </w:rPr>
        <w:t>塔地</w:t>
      </w:r>
      <w:r>
        <w:rPr>
          <w:rFonts w:hint="eastAsia" w:ascii="楷体_GB2312" w:hAnsi="宋体" w:eastAsia="楷体_GB2312"/>
          <w:sz w:val="32"/>
          <w:szCs w:val="32"/>
          <w:u w:val="none"/>
        </w:rPr>
        <w:t>环</w:t>
      </w:r>
      <w:r>
        <w:rPr>
          <w:rFonts w:hint="eastAsia" w:ascii="楷体_GB2312" w:hAnsi="宋体" w:eastAsia="楷体_GB2312"/>
          <w:sz w:val="32"/>
          <w:szCs w:val="32"/>
          <w:u w:val="none"/>
          <w:lang w:val="en-US" w:eastAsia="zh-CN"/>
        </w:rPr>
        <w:t>额</w:t>
      </w:r>
      <w:r>
        <w:rPr>
          <w:rFonts w:hint="eastAsia" w:ascii="楷体_GB2312" w:hAnsi="宋体" w:eastAsia="楷体_GB2312"/>
          <w:sz w:val="32"/>
          <w:szCs w:val="32"/>
          <w:u w:val="none"/>
        </w:rPr>
        <w:t>不罚〔</w:t>
      </w:r>
      <w:r>
        <w:rPr>
          <w:rFonts w:hint="eastAsia" w:ascii="楷体_GB2312" w:hAnsi="宋体" w:eastAsia="楷体_GB2312"/>
          <w:sz w:val="32"/>
          <w:szCs w:val="32"/>
          <w:u w:val="none"/>
          <w:lang w:val="en-US" w:eastAsia="zh-CN"/>
        </w:rPr>
        <w:t>2025</w:t>
      </w:r>
      <w:r>
        <w:rPr>
          <w:rFonts w:hint="eastAsia" w:ascii="楷体_GB2312" w:hAnsi="宋体" w:eastAsia="楷体_GB2312"/>
          <w:sz w:val="32"/>
          <w:szCs w:val="32"/>
          <w:u w:val="none"/>
        </w:rPr>
        <w:t>〕</w:t>
      </w:r>
      <w:r>
        <w:rPr>
          <w:rFonts w:hint="eastAsia" w:ascii="楷体_GB2312" w:hAnsi="宋体" w:eastAsia="楷体_GB2312"/>
          <w:sz w:val="32"/>
          <w:szCs w:val="32"/>
          <w:u w:val="none"/>
          <w:lang w:val="en-US" w:eastAsia="zh-CN"/>
        </w:rPr>
        <w:t>1</w:t>
      </w:r>
      <w:r>
        <w:rPr>
          <w:rFonts w:hint="eastAsia" w:ascii="楷体_GB2312" w:hAnsi="宋体" w:eastAsia="楷体_GB2312"/>
          <w:sz w:val="32"/>
          <w:szCs w:val="32"/>
          <w:u w:val="none"/>
        </w:rPr>
        <w:t>号</w:t>
      </w:r>
    </w:p>
    <w:p>
      <w:pPr>
        <w:adjustRightInd w:val="0"/>
        <w:snapToGrid w:val="0"/>
        <w:spacing w:line="408" w:lineRule="auto"/>
        <w:jc w:val="left"/>
        <w:rPr>
          <w:rFonts w:hint="eastAsia" w:ascii="黑体" w:hAnsi="宋体" w:eastAsia="黑体"/>
          <w:sz w:val="32"/>
          <w:szCs w:val="32"/>
          <w:lang w:val="en-US" w:eastAsia="zh-CN"/>
        </w:rPr>
      </w:pPr>
    </w:p>
    <w:p>
      <w:pPr>
        <w:adjustRightInd w:val="0"/>
        <w:snapToGrid w:val="0"/>
        <w:spacing w:line="360" w:lineRule="auto"/>
        <w:rPr>
          <w:rFonts w:hint="eastAsia" w:ascii="Times New Roman" w:hAnsi="仿宋_GB2312" w:eastAsia="Times New Roman" w:cs="仿宋_GB2312"/>
          <w:kern w:val="0"/>
          <w:sz w:val="30"/>
          <w:szCs w:val="30"/>
          <w:u w:val="none"/>
          <w:lang w:val="en-US" w:eastAsia="zh-CN" w:bidi="ar-SA"/>
        </w:rPr>
      </w:pPr>
      <w:r>
        <w:rPr>
          <w:rFonts w:hint="eastAsia" w:ascii="仿宋_GB2312" w:hAnsi="宋体" w:eastAsia="仿宋_GB2312"/>
          <w:sz w:val="30"/>
          <w:szCs w:val="30"/>
          <w:u w:val="none"/>
        </w:rPr>
        <w:t>当事人名称：</w:t>
      </w:r>
      <w:r>
        <w:rPr>
          <w:rFonts w:hint="eastAsia" w:ascii="Times New Roman" w:hAnsi="仿宋_GB2312" w:eastAsia="Times New Roman" w:cs="仿宋_GB2312"/>
          <w:kern w:val="0"/>
          <w:sz w:val="30"/>
          <w:szCs w:val="30"/>
          <w:u w:val="none"/>
          <w:lang w:val="en-US" w:eastAsia="zh-CN" w:bidi="ar-SA"/>
        </w:rPr>
        <w:t>额敏县人民医院</w:t>
      </w:r>
    </w:p>
    <w:p>
      <w:pPr>
        <w:adjustRightInd w:val="0"/>
        <w:snapToGrid w:val="0"/>
        <w:spacing w:line="360" w:lineRule="auto"/>
        <w:rPr>
          <w:rFonts w:hint="eastAsia" w:ascii="Times New Roman" w:hAnsi="仿宋_GB2312" w:eastAsia="Times New Roman" w:cs="仿宋_GB2312"/>
          <w:kern w:val="0"/>
          <w:sz w:val="30"/>
          <w:szCs w:val="30"/>
          <w:u w:val="none"/>
          <w:lang w:val="en-US" w:eastAsia="zh-CN" w:bidi="ar-SA"/>
        </w:rPr>
      </w:pPr>
      <w:r>
        <w:rPr>
          <w:rFonts w:hint="eastAsia" w:ascii="仿宋_GB2312" w:hAnsi="宋体" w:eastAsia="仿宋_GB2312"/>
          <w:sz w:val="30"/>
          <w:szCs w:val="30"/>
          <w:u w:val="none"/>
        </w:rPr>
        <w:t>法定代表人：</w:t>
      </w:r>
      <w:r>
        <w:rPr>
          <w:rFonts w:hint="eastAsia" w:ascii="Times New Roman" w:hAnsi="仿宋_GB2312" w:eastAsia="Times New Roman" w:cs="仿宋_GB2312"/>
          <w:kern w:val="0"/>
          <w:sz w:val="30"/>
          <w:szCs w:val="30"/>
          <w:u w:val="none"/>
          <w:lang w:val="en-US" w:eastAsia="zh-CN" w:bidi="ar-SA"/>
        </w:rPr>
        <w:t>蒋磊</w:t>
      </w:r>
    </w:p>
    <w:p>
      <w:pPr>
        <w:adjustRightInd w:val="0"/>
        <w:snapToGrid w:val="0"/>
        <w:spacing w:line="360" w:lineRule="auto"/>
        <w:rPr>
          <w:rFonts w:hint="eastAsia" w:ascii="仿宋_GB2312" w:hAnsi="宋体" w:eastAsia="仿宋_GB2312"/>
          <w:sz w:val="30"/>
          <w:szCs w:val="30"/>
          <w:u w:val="none"/>
        </w:rPr>
      </w:pPr>
      <w:r>
        <w:rPr>
          <w:rFonts w:hint="eastAsia" w:ascii="仿宋_GB2312" w:hAnsi="宋体" w:eastAsia="仿宋_GB2312"/>
          <w:sz w:val="30"/>
          <w:szCs w:val="30"/>
          <w:u w:val="none"/>
        </w:rPr>
        <w:t>统一社会信用代码：</w:t>
      </w:r>
      <w:r>
        <w:rPr>
          <w:rFonts w:hint="eastAsia" w:ascii="Times New Roman" w:hAnsi="仿宋_GB2312" w:eastAsia="Times New Roman" w:cs="仿宋_GB2312"/>
          <w:kern w:val="0"/>
          <w:sz w:val="30"/>
          <w:szCs w:val="30"/>
          <w:u w:val="none"/>
          <w:lang w:val="en-US" w:eastAsia="zh-CN" w:bidi="ar-SA"/>
        </w:rPr>
        <w:t>1265422145834573XP</w:t>
      </w:r>
    </w:p>
    <w:p>
      <w:pPr>
        <w:adjustRightInd w:val="0"/>
        <w:snapToGrid w:val="0"/>
        <w:spacing w:line="360" w:lineRule="auto"/>
        <w:rPr>
          <w:rFonts w:hint="eastAsia" w:ascii="仿宋_GB2312" w:hAnsi="宋体" w:eastAsia="仿宋_GB2312"/>
          <w:sz w:val="30"/>
          <w:szCs w:val="30"/>
          <w:u w:val="none"/>
        </w:rPr>
      </w:pPr>
      <w:r>
        <w:rPr>
          <w:rFonts w:hint="eastAsia" w:ascii="仿宋_GB2312" w:hAnsi="宋体" w:eastAsia="仿宋_GB2312"/>
          <w:sz w:val="30"/>
          <w:szCs w:val="30"/>
          <w:u w:val="none"/>
        </w:rPr>
        <w:t>地址：</w:t>
      </w:r>
      <w:r>
        <w:rPr>
          <w:rFonts w:hint="eastAsia" w:ascii="Times New Roman" w:hAnsi="仿宋_GB2312" w:eastAsia="Times New Roman" w:cs="仿宋_GB2312"/>
          <w:kern w:val="0"/>
          <w:sz w:val="30"/>
          <w:szCs w:val="30"/>
          <w:u w:val="none"/>
          <w:lang w:val="en-US" w:eastAsia="zh-CN" w:bidi="ar-SA"/>
        </w:rPr>
        <w:t>新疆塔城地区额敏县额敏镇塔城路76号</w:t>
      </w:r>
    </w:p>
    <w:p>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我局于</w:t>
      </w:r>
      <w:r>
        <w:rPr>
          <w:rFonts w:hint="eastAsia" w:ascii="仿宋_GB2312" w:hAnsi="宋体" w:eastAsia="仿宋_GB2312"/>
          <w:sz w:val="30"/>
          <w:szCs w:val="30"/>
          <w:u w:val="single"/>
          <w:lang w:val="en-US" w:eastAsia="zh-CN"/>
        </w:rPr>
        <w:t>2025</w:t>
      </w:r>
      <w:r>
        <w:rPr>
          <w:rFonts w:hint="eastAsia" w:ascii="仿宋_GB2312" w:hAnsi="宋体" w:eastAsia="仿宋_GB2312"/>
          <w:sz w:val="30"/>
          <w:szCs w:val="30"/>
        </w:rPr>
        <w:t>年</w:t>
      </w:r>
      <w:r>
        <w:rPr>
          <w:rFonts w:hint="eastAsia" w:ascii="仿宋_GB2312" w:hAnsi="宋体" w:eastAsia="仿宋_GB2312"/>
          <w:sz w:val="30"/>
          <w:szCs w:val="30"/>
          <w:u w:val="single"/>
          <w:lang w:val="en-US" w:eastAsia="zh-CN"/>
        </w:rPr>
        <w:t>9</w:t>
      </w:r>
      <w:r>
        <w:rPr>
          <w:rFonts w:hint="eastAsia" w:ascii="仿宋_GB2312" w:hAnsi="宋体" w:eastAsia="仿宋_GB2312"/>
          <w:sz w:val="30"/>
          <w:szCs w:val="30"/>
        </w:rPr>
        <w:t>月</w:t>
      </w:r>
      <w:r>
        <w:rPr>
          <w:rFonts w:hint="eastAsia" w:ascii="仿宋_GB2312" w:hAnsi="宋体" w:eastAsia="仿宋_GB2312"/>
          <w:sz w:val="30"/>
          <w:szCs w:val="30"/>
          <w:u w:val="single"/>
          <w:lang w:val="en-US" w:eastAsia="zh-CN"/>
        </w:rPr>
        <w:t>19</w:t>
      </w:r>
      <w:r>
        <w:rPr>
          <w:rFonts w:hint="eastAsia" w:ascii="仿宋_GB2312" w:hAnsi="宋体" w:eastAsia="仿宋_GB2312"/>
          <w:sz w:val="30"/>
          <w:szCs w:val="30"/>
        </w:rPr>
        <w:t>日对你单位进行了调查，发现你单位实施了以下生态环境违法行为：</w:t>
      </w:r>
    </w:p>
    <w:p>
      <w:pPr>
        <w:adjustRightInd w:val="0"/>
        <w:snapToGrid w:val="0"/>
        <w:spacing w:line="360" w:lineRule="auto"/>
        <w:ind w:firstLine="600" w:firstLineChars="200"/>
        <w:rPr>
          <w:rFonts w:hint="eastAsia" w:ascii="仿宋_GB2312" w:hAnsi="宋体" w:eastAsia="仿宋_GB2312"/>
          <w:sz w:val="30"/>
          <w:szCs w:val="30"/>
          <w:u w:val="none"/>
        </w:rPr>
      </w:pPr>
      <w:r>
        <w:rPr>
          <w:rFonts w:hint="eastAsia" w:ascii="仿宋_GB2312" w:hAnsi="宋体" w:eastAsia="仿宋_GB2312" w:cs="Times New Roman"/>
          <w:sz w:val="30"/>
          <w:szCs w:val="30"/>
          <w:u w:val="none"/>
          <w:lang w:val="en-US" w:eastAsia="zh-CN"/>
        </w:rPr>
        <w:t>我局行政执法人员通过调阅新疆固体废物管理系统平台，及查阅你医院的危险废物转运单，发现你医院存在“未规范使用、运行电子转移联单”的违法行为。</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以上事实，有以下主要证据证明：</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证据1：2025年9月19日污染源简单事项现场“一表通查”记录表一份、现场检查（勘察）笔录一份（2025年9月19日额敏县人民医院巴依尔）、调查询问笔录一份（2025年9月19日额敏县人民医院巴依尔），用于证实该医院存在不规范使用电子转移联单的违法行为事实；</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证据2：法人授权委托人（巴依尔）于2025年9月19日提供的</w:t>
      </w:r>
      <w:bookmarkStart w:id="0" w:name="_GoBack"/>
      <w:bookmarkEnd w:id="0"/>
      <w:r>
        <w:rPr>
          <w:rFonts w:hint="eastAsia" w:ascii="仿宋_GB2312" w:hAnsi="宋体" w:eastAsia="仿宋_GB2312" w:cs="Times New Roman"/>
          <w:sz w:val="30"/>
          <w:szCs w:val="30"/>
          <w:u w:val="none"/>
          <w:lang w:val="en-US" w:eastAsia="zh-CN"/>
        </w:rPr>
        <w:t>法人授权委托书、身份证复印件，用于证实代理人在其授权的范围内所为的行为由法人承担法律后果；</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证据3：由法人委托人巴依尔于2025年9月19日提供的违法主体营业执照、违法主体医疗机构执业许可证、事业单位法人证书、法定代表人身份证复印件，用于证实违法行为主体的身份；</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证据4：现场照片、现场调查影像资料，用于证实企业违法行为的真实性，记录执法过程；</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证据5：2025年9月19日由法人委托人巴依尔提供的额敏县人民医院与第三方塔城天颐医废处置有限公司签订的《医疗废物转运处置协议》、2025年9月7日医疗危险废物转运单及危险废物转移联单（纸质）、2025年9月11日医疗危险废物转运单及危险废物转移联单（纸质），用于证实该医院存在“不规范使用、运行电子转移联单”的违法行为事实；</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证据6：2025年9月19日由法人委托人巴依尔提供的第三方塔城天颐医废处置有限公司签订的危险废物处理资质，证实塔城天颐医废处置有限公司有处置危险废物的资质；</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证据7：2025年9月19日由法人委托人巴依尔提供的医疗危险废物进出库台账，用于证实该医院转移医疗危险废物重量的事实；</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证据8:塔城地区生态环境局行政执法人员王祖明、余有文于2025年9月19日现场检查拍摄的照片，用于证实额敏县人民医院正常经营生产，证实违法行为的真实性。</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宋体" w:eastAsia="仿宋_GB2312"/>
          <w:sz w:val="32"/>
          <w:szCs w:val="32"/>
        </w:rPr>
      </w:pPr>
      <w:r>
        <w:rPr>
          <w:rFonts w:hint="eastAsia" w:ascii="仿宋_GB2312" w:hAnsi="宋体" w:eastAsia="仿宋_GB2312"/>
          <w:sz w:val="30"/>
          <w:szCs w:val="30"/>
        </w:rPr>
        <w:t>你单位的上述行为违反了</w:t>
      </w:r>
      <w:r>
        <w:rPr>
          <w:rFonts w:hint="eastAsia" w:ascii="仿宋_GB2312" w:hAnsi="宋体" w:eastAsia="仿宋_GB2312" w:cs="Times New Roman"/>
          <w:sz w:val="30"/>
          <w:szCs w:val="30"/>
          <w:u w:val="none"/>
          <w:lang w:val="en-US" w:eastAsia="zh-CN"/>
        </w:rPr>
        <w:t>《危险废物转移管理办法》第七条第一款：“转移危险废物的，应当通过国家危险废物信息管理系统（以下简称信息系统）填写、运行危险废物电子转移联单，并依照国家有关规定公开危险废物转移相关污染环境防治信息。”</w:t>
      </w:r>
      <w:r>
        <w:rPr>
          <w:rFonts w:hint="eastAsia" w:ascii="仿宋_GB2312" w:hAnsi="宋体" w:eastAsia="仿宋_GB2312"/>
          <w:sz w:val="32"/>
          <w:szCs w:val="32"/>
        </w:rPr>
        <w:t>的规定。</w:t>
      </w:r>
    </w:p>
    <w:p>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仿宋_GB2312" w:hAnsi="宋体" w:eastAsia="仿宋_GB2312"/>
          <w:bCs/>
          <w:spacing w:val="-8"/>
          <w:sz w:val="30"/>
          <w:szCs w:val="30"/>
        </w:rPr>
      </w:pPr>
      <w:r>
        <w:rPr>
          <w:rFonts w:hint="eastAsia" w:ascii="仿宋" w:hAnsi="仿宋" w:eastAsia="仿宋" w:cs="仿宋"/>
          <w:sz w:val="30"/>
          <w:szCs w:val="30"/>
        </w:rPr>
        <w:t>依据</w:t>
      </w:r>
      <w:r>
        <w:rPr>
          <w:rFonts w:hint="eastAsia" w:ascii="仿宋_GB2312" w:hAnsi="宋体" w:eastAsia="仿宋_GB2312" w:cs="Times New Roman"/>
          <w:sz w:val="30"/>
          <w:szCs w:val="30"/>
          <w:u w:val="none"/>
        </w:rPr>
        <w:t>《危险废物</w:t>
      </w:r>
      <w:r>
        <w:rPr>
          <w:rFonts w:hint="eastAsia" w:ascii="仿宋_GB2312" w:hAnsi="宋体" w:eastAsia="仿宋_GB2312"/>
          <w:sz w:val="30"/>
          <w:szCs w:val="30"/>
          <w:u w:val="none"/>
        </w:rPr>
        <w:t>转移管理办法》第二十九条 第三款“违反本办法规定，未规范填写、运行危险废物转移联单，及时改正，且没有造成危害后果的，依法不予行政处罚；主动消除或者减轻危害后果的，生态环境主管部门可以依法从轻或者减轻行政处罚。”的</w:t>
      </w:r>
      <w:r>
        <w:rPr>
          <w:rFonts w:hint="eastAsia" w:ascii="仿宋" w:hAnsi="仿宋" w:eastAsia="仿宋" w:cs="仿宋"/>
          <w:sz w:val="30"/>
          <w:szCs w:val="30"/>
        </w:rPr>
        <w:t>规定</w:t>
      </w:r>
      <w:r>
        <w:rPr>
          <w:rFonts w:hint="eastAsia" w:ascii="仿宋" w:hAnsi="仿宋" w:eastAsia="仿宋" w:cs="仿宋"/>
          <w:sz w:val="30"/>
          <w:szCs w:val="30"/>
          <w:lang w:eastAsia="zh-CN"/>
        </w:rPr>
        <w:t>，</w:t>
      </w:r>
      <w:r>
        <w:rPr>
          <w:rFonts w:hint="eastAsia" w:ascii="仿宋_GB2312" w:hAnsi="宋体" w:eastAsia="仿宋_GB2312"/>
          <w:sz w:val="30"/>
          <w:szCs w:val="30"/>
        </w:rPr>
        <w:t>和《中华人民共和国行政处罚法》第三十三条第一款的规定，参照</w:t>
      </w:r>
      <w:r>
        <w:rPr>
          <w:rFonts w:hint="eastAsia" w:ascii="仿宋_GB2312" w:hAnsi="仿宋_GB2312" w:eastAsia="仿宋_GB2312" w:cs="仿宋_GB2312"/>
          <w:kern w:val="2"/>
          <w:sz w:val="32"/>
          <w:szCs w:val="32"/>
          <w:u w:val="none"/>
          <w:lang w:val="en-US" w:eastAsia="zh-CN" w:bidi="ar-SA"/>
        </w:rPr>
        <w:t>《危险废物转移管理办法》第二十九条第三款之规定</w:t>
      </w:r>
      <w:r>
        <w:rPr>
          <w:rFonts w:hint="eastAsia" w:ascii="仿宋_GB2312" w:hAnsi="宋体" w:eastAsia="仿宋_GB2312"/>
          <w:sz w:val="30"/>
          <w:szCs w:val="30"/>
        </w:rPr>
        <w:t>，你单位的违法行为属于轻微违法并及时改正，我局决定对你单位不予行政处罚。</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你单位如不服本处罚决定，可在收到本处罚决定书之日起六十</w:t>
      </w:r>
      <w:r>
        <w:rPr>
          <w:rFonts w:hint="eastAsia" w:ascii="仿宋_GB2312" w:hAnsi="宋体" w:eastAsia="仿宋_GB2312"/>
          <w:sz w:val="30"/>
          <w:szCs w:val="30"/>
          <w:u w:val="none"/>
        </w:rPr>
        <w:t>日内向</w:t>
      </w:r>
      <w:r>
        <w:rPr>
          <w:rFonts w:hint="eastAsia" w:ascii="仿宋_GB2312" w:hAnsi="宋体" w:eastAsia="仿宋_GB2312" w:cs="Times New Roman"/>
          <w:sz w:val="30"/>
          <w:szCs w:val="30"/>
          <w:u w:val="none"/>
          <w:lang w:val="en-US" w:eastAsia="zh-CN"/>
        </w:rPr>
        <w:t>塔城地区行政公署</w:t>
      </w:r>
      <w:r>
        <w:rPr>
          <w:rFonts w:hint="eastAsia" w:ascii="仿宋_GB2312" w:hAnsi="宋体" w:eastAsia="仿宋_GB2312"/>
          <w:sz w:val="30"/>
          <w:szCs w:val="30"/>
          <w:u w:val="none"/>
        </w:rPr>
        <w:t>申请行政复议，也可以在六个月内向</w:t>
      </w:r>
      <w:r>
        <w:rPr>
          <w:rFonts w:hint="eastAsia" w:ascii="仿宋_GB2312" w:hAnsi="宋体" w:eastAsia="仿宋_GB2312" w:cs="Times New Roman"/>
          <w:sz w:val="30"/>
          <w:szCs w:val="30"/>
          <w:u w:val="none"/>
          <w:lang w:val="en-US" w:eastAsia="zh-CN"/>
        </w:rPr>
        <w:t>乌鲁木齐铁路运输法院</w:t>
      </w:r>
      <w:r>
        <w:rPr>
          <w:rFonts w:hint="eastAsia" w:ascii="仿宋_GB2312" w:hAnsi="宋体" w:eastAsia="仿宋_GB2312"/>
          <w:sz w:val="30"/>
          <w:szCs w:val="30"/>
        </w:rPr>
        <w:t>提起行政诉讼。</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依据《中华人民共和国行政处罚法》第三十三条第三款的规定，对你单位进行教育，具体内容如下：</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宋体" w:eastAsia="仿宋_GB2312"/>
          <w:sz w:val="30"/>
          <w:szCs w:val="30"/>
          <w:u w:val="none"/>
        </w:rPr>
      </w:pPr>
      <w:r>
        <w:rPr>
          <w:rFonts w:hint="eastAsia" w:ascii="仿宋_GB2312" w:hAnsi="宋体" w:eastAsia="仿宋_GB2312"/>
          <w:sz w:val="30"/>
          <w:szCs w:val="30"/>
        </w:rPr>
        <w:t>1.</w:t>
      </w:r>
      <w:r>
        <w:rPr>
          <w:rFonts w:hint="eastAsia" w:ascii="仿宋_GB2312" w:hAnsi="仿宋_GB2312" w:eastAsia="仿宋_GB2312" w:cs="仿宋_GB2312"/>
          <w:kern w:val="2"/>
          <w:sz w:val="30"/>
          <w:szCs w:val="30"/>
          <w:u w:val="none"/>
          <w:lang w:val="en-US" w:eastAsia="zh-CN" w:bidi="ar-SA"/>
        </w:rPr>
        <w:t>即日起立即规范使用、运行电子转移联单。</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宋体" w:eastAsia="仿宋_GB2312"/>
          <w:sz w:val="30"/>
          <w:szCs w:val="30"/>
          <w:u w:val="none"/>
          <w:lang w:eastAsia="zh-CN"/>
        </w:rPr>
      </w:pPr>
      <w:r>
        <w:rPr>
          <w:rFonts w:hint="eastAsia" w:ascii="仿宋_GB2312" w:hAnsi="宋体" w:eastAsia="仿宋_GB2312"/>
          <w:sz w:val="30"/>
          <w:szCs w:val="30"/>
        </w:rPr>
        <w:t>2.</w:t>
      </w:r>
      <w:r>
        <w:rPr>
          <w:rFonts w:hint="eastAsia" w:ascii="仿宋_GB2312" w:hAnsi="仿宋_GB2312" w:eastAsia="仿宋_GB2312" w:cs="仿宋_GB2312"/>
          <w:kern w:val="2"/>
          <w:sz w:val="30"/>
          <w:szCs w:val="30"/>
          <w:u w:val="none"/>
          <w:lang w:val="en-US" w:eastAsia="zh-CN" w:bidi="ar-SA"/>
        </w:rPr>
        <w:t>责令额敏县人民医院领导班子及相关人员加强环保法律法规培训，特别是《中华人民共和国环境保护法》和《中华人民共和国固体废物污染环境防治法》的学习，提高相关人员的环保意识，严格按照《危险废物转移管理办法》进行操作，不再出现类似情况</w:t>
      </w:r>
      <w:r>
        <w:rPr>
          <w:rFonts w:hint="eastAsia" w:ascii="仿宋_GB2312" w:hAnsi="宋体" w:eastAsia="仿宋_GB2312"/>
          <w:sz w:val="30"/>
          <w:szCs w:val="30"/>
          <w:u w:val="none"/>
          <w:lang w:eastAsia="zh-CN"/>
        </w:rPr>
        <w:t>。</w:t>
      </w:r>
    </w:p>
    <w:p>
      <w:pPr>
        <w:adjustRightInd w:val="0"/>
        <w:snapToGrid w:val="0"/>
        <w:spacing w:line="360" w:lineRule="auto"/>
        <w:ind w:right="840"/>
        <w:rPr>
          <w:rFonts w:hint="eastAsia" w:ascii="仿宋_GB2312" w:hAnsi="宋体" w:eastAsia="仿宋_GB2312"/>
          <w:sz w:val="30"/>
          <w:szCs w:val="30"/>
        </w:rPr>
      </w:pPr>
    </w:p>
    <w:p>
      <w:pPr>
        <w:adjustRightInd w:val="0"/>
        <w:snapToGrid w:val="0"/>
        <w:spacing w:line="360" w:lineRule="auto"/>
        <w:ind w:right="840"/>
        <w:rPr>
          <w:rFonts w:hint="eastAsia" w:ascii="仿宋_GB2312" w:hAnsi="宋体" w:eastAsia="仿宋_GB2312"/>
          <w:sz w:val="30"/>
          <w:szCs w:val="30"/>
        </w:rPr>
      </w:pPr>
    </w:p>
    <w:p>
      <w:pPr>
        <w:adjustRightInd w:val="0"/>
        <w:snapToGrid w:val="0"/>
        <w:spacing w:line="360" w:lineRule="auto"/>
        <w:ind w:right="840"/>
        <w:rPr>
          <w:rFonts w:hint="eastAsia" w:ascii="仿宋_GB2312" w:hAnsi="宋体" w:eastAsia="仿宋_GB2312"/>
          <w:sz w:val="30"/>
          <w:szCs w:val="30"/>
        </w:rPr>
      </w:pPr>
    </w:p>
    <w:p>
      <w:pPr>
        <w:adjustRightInd w:val="0"/>
        <w:snapToGrid w:val="0"/>
        <w:spacing w:line="360" w:lineRule="auto"/>
        <w:jc w:val="right"/>
        <w:rPr>
          <w:rFonts w:hint="eastAsia" w:ascii="仿宋_GB2312" w:hAnsi="宋体" w:eastAsia="仿宋_GB2312"/>
          <w:bCs/>
          <w:sz w:val="30"/>
          <w:szCs w:val="30"/>
          <w:lang w:eastAsia="zh-CN"/>
        </w:rPr>
      </w:pPr>
      <w:r>
        <w:rPr>
          <w:rFonts w:hint="eastAsia" w:ascii="仿宋_GB2312" w:hAnsi="宋体" w:eastAsia="仿宋_GB2312"/>
          <w:bCs/>
          <w:sz w:val="30"/>
          <w:szCs w:val="30"/>
          <w:lang w:val="en-US" w:eastAsia="zh-CN"/>
        </w:rPr>
        <w:t>塔城地区</w:t>
      </w:r>
      <w:r>
        <w:rPr>
          <w:rFonts w:hint="eastAsia" w:ascii="仿宋_GB2312" w:hAnsi="宋体" w:eastAsia="仿宋_GB2312"/>
          <w:bCs/>
          <w:sz w:val="30"/>
          <w:szCs w:val="30"/>
        </w:rPr>
        <w:t>生态环境局</w:t>
      </w:r>
      <w:r>
        <w:rPr>
          <w:rFonts w:hint="eastAsia" w:ascii="仿宋_GB2312" w:hAnsi="宋体" w:eastAsia="仿宋_GB2312"/>
          <w:bCs/>
          <w:sz w:val="30"/>
          <w:szCs w:val="30"/>
          <w:lang w:eastAsia="zh-CN"/>
        </w:rPr>
        <w:t>额敏县分局</w:t>
      </w:r>
    </w:p>
    <w:p>
      <w:pPr>
        <w:jc w:val="right"/>
      </w:pPr>
      <w:r>
        <w:rPr>
          <w:rFonts w:hint="eastAsia" w:ascii="仿宋_GB2312" w:hAnsi="宋体" w:eastAsia="仿宋_GB2312"/>
          <w:sz w:val="30"/>
          <w:szCs w:val="30"/>
          <w:lang w:val="en-US" w:eastAsia="zh-CN"/>
        </w:rPr>
        <w:t>2026</w:t>
      </w:r>
      <w:r>
        <w:rPr>
          <w:rFonts w:hint="eastAsia" w:ascii="仿宋_GB2312" w:hAnsi="宋体" w:eastAsia="仿宋_GB2312"/>
          <w:sz w:val="30"/>
          <w:szCs w:val="30"/>
        </w:rPr>
        <w:t>年</w:t>
      </w:r>
      <w:r>
        <w:rPr>
          <w:rFonts w:hint="eastAsia" w:ascii="仿宋_GB2312" w:hAnsi="宋体" w:eastAsia="仿宋_GB2312"/>
          <w:sz w:val="30"/>
          <w:szCs w:val="30"/>
          <w:lang w:val="en-US" w:eastAsia="zh-CN"/>
        </w:rPr>
        <w:t>1</w:t>
      </w:r>
      <w:r>
        <w:rPr>
          <w:rFonts w:hint="eastAsia" w:ascii="仿宋_GB2312" w:hAnsi="宋体" w:eastAsia="仿宋_GB2312"/>
          <w:sz w:val="30"/>
          <w:szCs w:val="30"/>
        </w:rPr>
        <w:t>月</w:t>
      </w:r>
      <w:r>
        <w:rPr>
          <w:rFonts w:hint="eastAsia" w:ascii="仿宋_GB2312" w:hAnsi="宋体" w:eastAsia="仿宋_GB2312"/>
          <w:sz w:val="30"/>
          <w:szCs w:val="30"/>
          <w:lang w:val="en-US" w:eastAsia="zh-CN"/>
        </w:rPr>
        <w:t>16</w:t>
      </w:r>
      <w:r>
        <w:rPr>
          <w:rFonts w:hint="eastAsia" w:ascii="仿宋_GB2312" w:hAnsi="宋体" w:eastAsia="仿宋_GB2312"/>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0683B"/>
    <w:rsid w:val="0A916718"/>
    <w:rsid w:val="0D030681"/>
    <w:rsid w:val="121D1A98"/>
    <w:rsid w:val="15B17864"/>
    <w:rsid w:val="18C053A1"/>
    <w:rsid w:val="1A346C1E"/>
    <w:rsid w:val="1E3D1F8F"/>
    <w:rsid w:val="27277649"/>
    <w:rsid w:val="312968A9"/>
    <w:rsid w:val="345715D9"/>
    <w:rsid w:val="35A15467"/>
    <w:rsid w:val="35D775AB"/>
    <w:rsid w:val="37CA2BE5"/>
    <w:rsid w:val="3B875EF0"/>
    <w:rsid w:val="413D2055"/>
    <w:rsid w:val="44BF1CC9"/>
    <w:rsid w:val="4714513D"/>
    <w:rsid w:val="4A053998"/>
    <w:rsid w:val="4D974380"/>
    <w:rsid w:val="4ECC59BA"/>
    <w:rsid w:val="50D76C9A"/>
    <w:rsid w:val="568B3077"/>
    <w:rsid w:val="5FAC75E2"/>
    <w:rsid w:val="62B14FD1"/>
    <w:rsid w:val="68E50428"/>
    <w:rsid w:val="6BEA2AFD"/>
    <w:rsid w:val="6DCD2B27"/>
    <w:rsid w:val="6E3044BF"/>
    <w:rsid w:val="76686E90"/>
    <w:rsid w:val="77346781"/>
    <w:rsid w:val="7C181B0B"/>
    <w:rsid w:val="7CF65E57"/>
    <w:rsid w:val="7CF72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0"/>
    <w:pPr>
      <w:spacing w:line="240" w:lineRule="auto"/>
      <w:ind w:left="0" w:leftChars="0" w:firstLine="0" w:firstLineChars="0"/>
      <w:jc w:val="left"/>
    </w:pPr>
    <w:rPr>
      <w:rFonts w:ascii="仿宋" w:hAnsi="仿宋" w:eastAsia="仿宋" w:cs="仿宋"/>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Administrator</cp:lastModifiedBy>
  <dcterms:modified xsi:type="dcterms:W3CDTF">2026-01-30T03:45:51Z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