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/>
          <w:b/>
          <w:bCs/>
          <w:sz w:val="10"/>
          <w:szCs w:val="1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行政处罚决定书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_GB2312" w:eastAsia="仿宋_GB2312"/>
          <w:sz w:val="24"/>
          <w:lang w:eastAsia="zh-CN"/>
        </w:rPr>
      </w:pPr>
      <w:bookmarkStart w:id="0" w:name="OLE_LINK1"/>
      <w:r>
        <w:rPr>
          <w:rFonts w:hint="eastAsia" w:ascii="仿宋_GB2312" w:eastAsia="仿宋_GB2312"/>
          <w:sz w:val="28"/>
          <w:szCs w:val="28"/>
          <w:lang w:eastAsia="zh-CN"/>
        </w:rPr>
        <w:t>额自然资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规</w:t>
      </w:r>
      <w:r>
        <w:rPr>
          <w:rFonts w:hint="eastAsia" w:ascii="仿宋_GB2312" w:eastAsia="仿宋_GB2312"/>
          <w:sz w:val="28"/>
          <w:szCs w:val="28"/>
        </w:rPr>
        <w:t>罚字</w:t>
      </w:r>
      <w:r>
        <w:rPr>
          <w:rFonts w:hint="eastAsia" w:ascii="仿宋_GB2312" w:eastAsia="仿宋_GB2312"/>
          <w:sz w:val="28"/>
          <w:szCs w:val="28"/>
          <w:lang w:eastAsia="zh-CN"/>
        </w:rPr>
        <w:t xml:space="preserve">〔2025〕08号 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宋体" w:eastAsia="仿宋_GB2312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程双喜：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none"/>
        </w:rPr>
        <w:t>你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2025年6月23日办理了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额敏县园丁路038号房屋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建设工程规划许可证，重建房屋面积80平方米，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2025年7月10日开始建设房屋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过程中存在扩建行为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且未办理变更手续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实际建设面积为142.5平方米，实际建设超出了审批的违法建筑面积为62.5平方米。该行为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违反了《中华人民共和国城乡规划法》第四十三条第一款及《新疆维吾尔自治区实施《中华人民共和国城乡规划法》办法》第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四十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条的规定。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上述违法事实有下列证据证实：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1、《居民身份证》复印件1份，证明本案中的违法当事人是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程双喜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2、《询问笔录》1份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，证明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当事人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陈述未按照规划许可建设的经过及事实情况；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3、《</w:t>
      </w:r>
      <w:r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  <w:t>房地产估价报告</w:t>
      </w:r>
      <w:r>
        <w:rPr>
          <w:rFonts w:hint="eastAsia" w:ascii="仿宋_GB2312" w:hAnsi="仿宋" w:eastAsia="仿宋_GB2312"/>
          <w:sz w:val="32"/>
          <w:szCs w:val="32"/>
          <w:u w:val="non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》1份，证明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当事人建设项目的建筑面积及工程总价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现场勘测笔录1份，证明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当事人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未按照工程规划许可建设的面积及建设状态；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现场照片2张，证明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当事人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未取得规划许可进行建设的建设程度。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我局已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2025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9月8日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依法向你进行了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行政处罚告知和听证告知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未提出书面陈述或申辩意见，也未要求举行听证。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根据新疆信天房地产估计事务所提供的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《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房地产估计报告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》，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每平方米971元/平方米，违法建设面积为62.5平方米，违法建筑工程造价为60687.5元，</w:t>
      </w:r>
      <w:r>
        <w:rPr>
          <w:rFonts w:hint="eastAsia" w:ascii="仿宋_GB2312" w:hAnsi="仿宋" w:eastAsia="仿宋_GB2312"/>
          <w:sz w:val="32"/>
          <w:szCs w:val="32"/>
        </w:rPr>
        <w:t>依据《中华人民共和国城乡规划法》第六十四条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，决定</w:t>
      </w:r>
      <w:r>
        <w:rPr>
          <w:rFonts w:hint="eastAsia" w:ascii="仿宋_GB2312" w:hAnsi="仿宋" w:eastAsia="仿宋_GB2312"/>
          <w:sz w:val="32"/>
          <w:szCs w:val="32"/>
        </w:rPr>
        <w:t>处罚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如下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1、责令当事人停止建设；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2、处违法建设工程造价7%的罚款：60687.5元</w:t>
      </w:r>
      <w:r>
        <w:rPr>
          <w:rFonts w:hint="default" w:ascii="Arial" w:hAnsi="Arial" w:eastAsia="仿宋_GB2312" w:cs="Arial"/>
          <w:kern w:val="0"/>
          <w:sz w:val="32"/>
          <w:szCs w:val="32"/>
          <w:lang w:val="en-US" w:eastAsia="zh-CN"/>
        </w:rPr>
        <w:t>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7%=4248元。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98" w:firstLineChars="186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行政处罚的履行方式和期限：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根据《中华人民共和国行政处罚法》第六十七条第三款的规定，当事人应当自收到本行政处罚决定书之日起十五日内，到额敏县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行政服务中心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楼自然资源局不动产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登记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窗口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，将罚没款缴至额敏县财政局专用账户（30204001040002356），执收户：额敏县财政局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逾期不缴纳的，根据《中华人民共和国行政处罚法》第七十二条第一项的规定，每日按照罚款的百分之三加处罚款。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本决定送达当事人，即发生法律效力。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你如不服本处罚决定，可以在收到本处罚决定书之日起六十日内向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额敏县人民政府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申请行政复议，或者六个月内直接向额敏县人民法院提起诉讼。逾期不申请行政复议，不提起行政诉讼，又不履行本行政处罚决定的，我局将依法申请人民法院强制执行。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 xml:space="preserve">联系人: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孟丽君、焦建鹏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电  话：090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3341530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地  址：额敏县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文化路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120" w:firstLineChars="16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额敏县自然资源局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/>
          <w:b/>
          <w:bCs/>
          <w:sz w:val="40"/>
          <w:szCs w:val="40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                       2025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9月16日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CA2A33"/>
    <w:rsid w:val="07C87738"/>
    <w:rsid w:val="3BBA0C0C"/>
    <w:rsid w:val="4870244B"/>
    <w:rsid w:val="4DCA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2025-11-11T05:17:00Z</dcterms:created>
  <dc:creator>孟丽君</dc:creator>
  <cp:lastModifiedBy>Administrator</cp:lastModifiedBy>
  <dcterms:modified xsi:type="dcterms:W3CDTF">2025-11-11T10:49:46Z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46A7EB0A738943A6A589701AB70F11FA_11</vt:lpwstr>
  </property>
  <property fmtid="{D5CDD505-2E9C-101B-9397-08002B2CF9AE}" pid="4" name="KSOTemplateDocerSaveRecord">
    <vt:lpwstr>eyJoZGlkIjoiODVkOTA5YjEwMjhmNzA4MzA2MjIzOTI1NWZhYWI5NjIiLCJ1c2VySWQiOiI0NDY2MjM3NDUifQ==</vt:lpwstr>
  </property>
</Properties>
</file>