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B2A53">
      <w:pPr>
        <w:widowControl/>
        <w:jc w:val="center"/>
        <w:rPr>
          <w:rFonts w:hint="default" w:ascii="华文中宋" w:hAnsi="华文中宋" w:eastAsia="华文中宋" w:cs="华文中宋"/>
          <w:kern w:val="0"/>
          <w:sz w:val="56"/>
          <w:szCs w:val="56"/>
          <w:lang w:val="en-US" w:eastAsia="zh-CN"/>
        </w:rPr>
      </w:pPr>
      <w:bookmarkStart w:id="4" w:name="_GoBack"/>
      <w:bookmarkEnd w:id="4"/>
      <w:bookmarkStart w:id="0" w:name="OLE_LINK2"/>
      <w:bookmarkStart w:id="1" w:name="OLE_LINK4"/>
      <w:bookmarkStart w:id="2" w:name="OLE_LINK1"/>
      <w:r>
        <w:rPr>
          <w:rFonts w:hint="eastAsia" w:ascii="华文中宋" w:hAnsi="华文中宋" w:eastAsia="华文中宋" w:cs="华文中宋"/>
          <w:b/>
          <w:bCs/>
          <w:kern w:val="0"/>
          <w:sz w:val="56"/>
          <w:szCs w:val="56"/>
        </w:rPr>
        <w:t>额敏县</w:t>
      </w:r>
      <w:r>
        <w:rPr>
          <w:rFonts w:hint="eastAsia" w:ascii="华文中宋" w:hAnsi="华文中宋" w:eastAsia="华文中宋" w:cs="华文中宋"/>
          <w:b/>
          <w:bCs/>
          <w:kern w:val="0"/>
          <w:sz w:val="56"/>
          <w:szCs w:val="56"/>
          <w:lang w:val="en-US" w:eastAsia="zh-CN"/>
        </w:rPr>
        <w:t>交通运输</w:t>
      </w:r>
      <w:r>
        <w:rPr>
          <w:rFonts w:hint="eastAsia" w:ascii="华文中宋" w:hAnsi="华文中宋" w:eastAsia="华文中宋" w:cs="华文中宋"/>
          <w:b/>
          <w:bCs/>
          <w:kern w:val="0"/>
          <w:sz w:val="56"/>
          <w:szCs w:val="56"/>
        </w:rPr>
        <w:t>局行政处罚案件公示</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2025</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22号</w:t>
      </w:r>
    </w:p>
    <w:bookmarkEnd w:id="0"/>
    <w:p w14:paraId="54449EF5">
      <w:pPr>
        <w:widowControl/>
        <w:jc w:val="center"/>
        <w:rPr>
          <w:rFonts w:hint="default" w:ascii="方正小标宋简体" w:hAnsi="宋体" w:eastAsia="宋体" w:cs="宋体"/>
          <w:kern w:val="0"/>
          <w:sz w:val="32"/>
          <w:szCs w:val="32"/>
          <w:lang w:val="en-US" w:eastAsia="zh-CN"/>
        </w:rPr>
      </w:pPr>
      <w:r>
        <w:rPr>
          <w:rFonts w:hint="eastAsia" w:ascii="宋体" w:hAnsi="宋体" w:cs="宋体"/>
          <w:b/>
          <w:bCs/>
          <w:kern w:val="0"/>
          <w:sz w:val="32"/>
          <w:szCs w:val="32"/>
          <w:lang w:val="en-US" w:eastAsia="zh-CN"/>
        </w:rPr>
        <w:t>2025年11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10日至2025年11月10日</w:t>
      </w:r>
    </w:p>
    <w:p w14:paraId="667F5E43">
      <w:pPr>
        <w:widowControl/>
        <w:ind w:right="960"/>
        <w:rPr>
          <w:rFonts w:hint="default" w:ascii="宋体" w:hAnsi="宋体" w:eastAsia="宋体" w:cs="宋体"/>
          <w:kern w:val="0"/>
          <w:sz w:val="28"/>
          <w:szCs w:val="28"/>
          <w:lang w:val="en-US" w:eastAsia="zh-CN"/>
        </w:rPr>
      </w:pPr>
      <w:r>
        <w:rPr>
          <w:rFonts w:ascii="宋体" w:hAnsi="宋体" w:cs="宋体"/>
          <w:kern w:val="0"/>
          <w:sz w:val="28"/>
          <w:szCs w:val="28"/>
        </w:rPr>
        <w:t>填报单位：</w:t>
      </w:r>
      <w:bookmarkStart w:id="3" w:name="OLE_LINK3"/>
      <w:r>
        <w:rPr>
          <w:rFonts w:hint="eastAsia" w:ascii="宋体" w:hAnsi="宋体" w:cs="宋体"/>
          <w:kern w:val="0"/>
          <w:sz w:val="28"/>
          <w:szCs w:val="28"/>
        </w:rPr>
        <w:t>额</w:t>
      </w:r>
      <w:r>
        <w:rPr>
          <w:rFonts w:ascii="宋体" w:hAnsi="宋体" w:cs="宋体"/>
          <w:kern w:val="0"/>
          <w:sz w:val="28"/>
          <w:szCs w:val="28"/>
        </w:rPr>
        <w:t>敏县</w:t>
      </w:r>
      <w:r>
        <w:rPr>
          <w:rFonts w:hint="eastAsia" w:ascii="宋体" w:hAnsi="宋体" w:cs="宋体"/>
          <w:kern w:val="0"/>
          <w:sz w:val="28"/>
          <w:szCs w:val="28"/>
          <w:lang w:val="en-US" w:eastAsia="zh-CN"/>
        </w:rPr>
        <w:t>交通运输局</w:t>
      </w:r>
      <w:bookmarkEnd w:id="3"/>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ascii="宋体" w:hAnsi="宋体" w:cs="宋体"/>
          <w:kern w:val="0"/>
          <w:sz w:val="28"/>
          <w:szCs w:val="28"/>
        </w:rPr>
        <w:t>填报日期：</w:t>
      </w:r>
      <w:r>
        <w:rPr>
          <w:rFonts w:hint="eastAsia" w:ascii="宋体" w:hAnsi="宋体" w:cs="宋体"/>
          <w:kern w:val="0"/>
          <w:sz w:val="28"/>
          <w:szCs w:val="28"/>
          <w:lang w:val="en-US" w:eastAsia="zh-CN"/>
        </w:rPr>
        <w:t>2025年11月11日</w:t>
      </w:r>
    </w:p>
    <w:tbl>
      <w:tblPr>
        <w:tblStyle w:val="2"/>
        <w:tblW w:w="13890" w:type="dxa"/>
        <w:tblCellSpacing w:w="0" w:type="dxa"/>
        <w:tblInd w:w="0" w:type="dxa"/>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
      <w:tblGrid>
        <w:gridCol w:w="899"/>
        <w:gridCol w:w="491"/>
        <w:gridCol w:w="1145"/>
        <w:gridCol w:w="3060"/>
        <w:gridCol w:w="2880"/>
        <w:gridCol w:w="810"/>
        <w:gridCol w:w="1170"/>
        <w:gridCol w:w="3435"/>
      </w:tblGrid>
      <w:tr w14:paraId="4721B0F9">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78" w:hRule="atLeast"/>
          <w:tblCellSpacing w:w="0" w:type="dxa"/>
        </w:trPr>
        <w:tc>
          <w:tcPr>
            <w:tcW w:w="899" w:type="dxa"/>
            <w:tcBorders>
              <w:top w:val="outset" w:color="auto" w:sz="6" w:space="0"/>
              <w:bottom w:val="outset" w:color="auto" w:sz="6" w:space="0"/>
            </w:tcBorders>
            <w:noWrap w:val="0"/>
            <w:vAlign w:val="center"/>
          </w:tcPr>
          <w:p w14:paraId="36F00DA2">
            <w:pPr>
              <w:widowControl/>
              <w:jc w:val="center"/>
              <w:rPr>
                <w:rFonts w:ascii="宋体" w:hAnsi="宋体" w:cs="宋体"/>
                <w:kern w:val="0"/>
                <w:sz w:val="24"/>
                <w:szCs w:val="24"/>
              </w:rPr>
            </w:pPr>
            <w:r>
              <w:rPr>
                <w:rFonts w:hint="eastAsia" w:ascii="宋体" w:hAnsi="宋体" w:cs="宋体"/>
                <w:kern w:val="0"/>
                <w:sz w:val="24"/>
                <w:szCs w:val="24"/>
              </w:rPr>
              <w:t>处罚案件总数（个）</w:t>
            </w:r>
          </w:p>
        </w:tc>
        <w:tc>
          <w:tcPr>
            <w:tcW w:w="491" w:type="dxa"/>
            <w:tcBorders>
              <w:top w:val="outset" w:color="auto" w:sz="6" w:space="0"/>
              <w:bottom w:val="outset" w:color="auto" w:sz="6" w:space="0"/>
            </w:tcBorders>
            <w:noWrap w:val="0"/>
            <w:vAlign w:val="center"/>
          </w:tcPr>
          <w:p w14:paraId="4B0BD05F">
            <w:pPr>
              <w:widowControl/>
              <w:jc w:val="center"/>
              <w:rPr>
                <w:rFonts w:ascii="宋体" w:hAnsi="宋体" w:cs="宋体"/>
                <w:kern w:val="0"/>
                <w:sz w:val="24"/>
                <w:szCs w:val="24"/>
              </w:rPr>
            </w:pPr>
            <w:r>
              <w:rPr>
                <w:rFonts w:hint="eastAsia" w:ascii="宋体" w:hAnsi="宋体" w:cs="宋体"/>
                <w:kern w:val="0"/>
                <w:sz w:val="24"/>
                <w:szCs w:val="24"/>
              </w:rPr>
              <w:t>序号</w:t>
            </w:r>
          </w:p>
        </w:tc>
        <w:tc>
          <w:tcPr>
            <w:tcW w:w="1145" w:type="dxa"/>
            <w:tcBorders>
              <w:top w:val="outset" w:color="auto" w:sz="6" w:space="0"/>
              <w:bottom w:val="outset" w:color="auto" w:sz="6" w:space="0"/>
            </w:tcBorders>
            <w:noWrap w:val="0"/>
            <w:vAlign w:val="center"/>
          </w:tcPr>
          <w:p w14:paraId="6648FF69">
            <w:pPr>
              <w:widowControl/>
              <w:jc w:val="center"/>
              <w:rPr>
                <w:rFonts w:ascii="宋体" w:hAnsi="宋体" w:cs="宋体"/>
                <w:kern w:val="0"/>
                <w:sz w:val="24"/>
                <w:szCs w:val="24"/>
              </w:rPr>
            </w:pPr>
            <w:r>
              <w:rPr>
                <w:rFonts w:hint="eastAsia" w:ascii="宋体" w:hAnsi="宋体" w:cs="宋体"/>
                <w:kern w:val="0"/>
                <w:sz w:val="24"/>
                <w:szCs w:val="24"/>
              </w:rPr>
              <w:t>处罚时间</w:t>
            </w:r>
          </w:p>
        </w:tc>
        <w:tc>
          <w:tcPr>
            <w:tcW w:w="3060" w:type="dxa"/>
            <w:tcBorders>
              <w:top w:val="outset" w:color="auto" w:sz="6" w:space="0"/>
              <w:bottom w:val="outset" w:color="auto" w:sz="6" w:space="0"/>
            </w:tcBorders>
            <w:noWrap w:val="0"/>
            <w:vAlign w:val="center"/>
          </w:tcPr>
          <w:p w14:paraId="5771A6C9">
            <w:pPr>
              <w:widowControl/>
              <w:jc w:val="center"/>
              <w:rPr>
                <w:rFonts w:ascii="宋体" w:hAnsi="宋体" w:cs="宋体"/>
                <w:kern w:val="0"/>
                <w:sz w:val="24"/>
                <w:szCs w:val="24"/>
              </w:rPr>
            </w:pPr>
            <w:r>
              <w:rPr>
                <w:rFonts w:hint="eastAsia" w:ascii="宋体" w:hAnsi="宋体" w:cs="宋体"/>
                <w:kern w:val="0"/>
                <w:sz w:val="24"/>
                <w:szCs w:val="24"/>
              </w:rPr>
              <w:t>车属单位</w:t>
            </w:r>
          </w:p>
        </w:tc>
        <w:tc>
          <w:tcPr>
            <w:tcW w:w="2880" w:type="dxa"/>
            <w:tcBorders>
              <w:top w:val="outset" w:color="auto" w:sz="6" w:space="0"/>
              <w:bottom w:val="outset" w:color="auto" w:sz="6" w:space="0"/>
            </w:tcBorders>
            <w:noWrap w:val="0"/>
            <w:vAlign w:val="center"/>
          </w:tcPr>
          <w:p w14:paraId="66A4BE8F">
            <w:pPr>
              <w:widowControl/>
              <w:jc w:val="center"/>
              <w:rPr>
                <w:rFonts w:ascii="宋体" w:hAnsi="宋体" w:cs="宋体"/>
                <w:kern w:val="0"/>
                <w:sz w:val="24"/>
                <w:szCs w:val="24"/>
              </w:rPr>
            </w:pPr>
            <w:r>
              <w:rPr>
                <w:rFonts w:hint="eastAsia" w:ascii="宋体" w:hAnsi="宋体" w:cs="宋体"/>
                <w:kern w:val="0"/>
                <w:sz w:val="24"/>
                <w:szCs w:val="24"/>
              </w:rPr>
              <w:t>违法事由</w:t>
            </w:r>
          </w:p>
        </w:tc>
        <w:tc>
          <w:tcPr>
            <w:tcW w:w="810" w:type="dxa"/>
            <w:tcBorders>
              <w:top w:val="outset" w:color="auto" w:sz="6" w:space="0"/>
              <w:bottom w:val="outset" w:color="auto" w:sz="6" w:space="0"/>
            </w:tcBorders>
            <w:noWrap w:val="0"/>
            <w:vAlign w:val="center"/>
          </w:tcPr>
          <w:p w14:paraId="5AA061EB">
            <w:pPr>
              <w:widowControl/>
              <w:jc w:val="center"/>
              <w:rPr>
                <w:rFonts w:ascii="宋体" w:hAnsi="宋体" w:cs="宋体"/>
                <w:kern w:val="0"/>
                <w:sz w:val="24"/>
                <w:szCs w:val="24"/>
              </w:rPr>
            </w:pPr>
            <w:r>
              <w:rPr>
                <w:rFonts w:hint="eastAsia" w:ascii="宋体" w:hAnsi="宋体" w:cs="宋体"/>
                <w:kern w:val="0"/>
                <w:sz w:val="24"/>
                <w:szCs w:val="24"/>
              </w:rPr>
              <w:t>是否采取强制措施</w:t>
            </w:r>
          </w:p>
        </w:tc>
        <w:tc>
          <w:tcPr>
            <w:tcW w:w="1170" w:type="dxa"/>
            <w:tcBorders>
              <w:top w:val="outset" w:color="auto" w:sz="6" w:space="0"/>
              <w:bottom w:val="outset" w:color="auto" w:sz="6" w:space="0"/>
            </w:tcBorders>
            <w:noWrap w:val="0"/>
            <w:vAlign w:val="center"/>
          </w:tcPr>
          <w:p w14:paraId="49D4CB0C">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rPr>
              <w:t>处罚</w:t>
            </w:r>
            <w:r>
              <w:rPr>
                <w:rFonts w:hint="eastAsia" w:ascii="宋体" w:hAnsi="宋体" w:cs="宋体"/>
                <w:kern w:val="0"/>
                <w:sz w:val="24"/>
                <w:szCs w:val="24"/>
                <w:lang w:val="en-US" w:eastAsia="zh-CN"/>
              </w:rPr>
              <w:t>金额（元）</w:t>
            </w:r>
          </w:p>
        </w:tc>
        <w:tc>
          <w:tcPr>
            <w:tcW w:w="3435" w:type="dxa"/>
            <w:tcBorders>
              <w:top w:val="outset" w:color="auto" w:sz="6" w:space="0"/>
              <w:bottom w:val="outset" w:color="auto" w:sz="6" w:space="0"/>
            </w:tcBorders>
            <w:noWrap w:val="0"/>
            <w:vAlign w:val="center"/>
          </w:tcPr>
          <w:p w14:paraId="1FF852E9">
            <w:pPr>
              <w:widowControl/>
              <w:jc w:val="center"/>
              <w:rPr>
                <w:rFonts w:ascii="宋体" w:hAnsi="宋体" w:cs="宋体"/>
                <w:kern w:val="0"/>
                <w:sz w:val="24"/>
                <w:szCs w:val="24"/>
              </w:rPr>
            </w:pPr>
            <w:r>
              <w:rPr>
                <w:rFonts w:hint="eastAsia" w:ascii="宋体" w:hAnsi="宋体" w:cs="宋体"/>
                <w:kern w:val="0"/>
                <w:sz w:val="24"/>
                <w:szCs w:val="24"/>
              </w:rPr>
              <w:t>案号</w:t>
            </w:r>
          </w:p>
        </w:tc>
      </w:tr>
      <w:tr w14:paraId="70345C10">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0" w:hRule="atLeast"/>
          <w:tblCellSpacing w:w="0" w:type="dxa"/>
        </w:trPr>
        <w:tc>
          <w:tcPr>
            <w:tcW w:w="899" w:type="dxa"/>
            <w:vMerge w:val="restart"/>
            <w:tcBorders>
              <w:top w:val="outset" w:color="auto" w:sz="6" w:space="0"/>
            </w:tcBorders>
            <w:noWrap w:val="0"/>
            <w:vAlign w:val="center"/>
          </w:tcPr>
          <w:p w14:paraId="36287A8A">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491" w:type="dxa"/>
            <w:tcBorders>
              <w:top w:val="outset" w:color="auto" w:sz="6" w:space="0"/>
              <w:bottom w:val="outset" w:color="auto" w:sz="6" w:space="0"/>
            </w:tcBorders>
            <w:noWrap w:val="0"/>
            <w:vAlign w:val="center"/>
          </w:tcPr>
          <w:p w14:paraId="3518ED9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145" w:type="dxa"/>
            <w:tcBorders>
              <w:top w:val="outset" w:color="auto" w:sz="6" w:space="0"/>
              <w:bottom w:val="outset" w:color="auto" w:sz="6" w:space="0"/>
            </w:tcBorders>
            <w:shd w:val="clear" w:color="auto" w:fill="auto"/>
            <w:noWrap w:val="0"/>
            <w:vAlign w:val="center"/>
          </w:tcPr>
          <w:p w14:paraId="42744F38">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10</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7360628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新疆新耀商贸有限公司</w:t>
            </w:r>
          </w:p>
        </w:tc>
        <w:tc>
          <w:tcPr>
            <w:tcW w:w="2880" w:type="dxa"/>
            <w:tcBorders>
              <w:top w:val="outset" w:color="auto" w:sz="6" w:space="0"/>
              <w:bottom w:val="outset" w:color="auto" w:sz="6" w:space="0"/>
            </w:tcBorders>
            <w:shd w:val="clear" w:color="auto" w:fill="auto"/>
            <w:noWrap w:val="0"/>
            <w:vAlign w:val="center"/>
          </w:tcPr>
          <w:p w14:paraId="2A9A993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新疆新耀商贸有限公司涉嫌从事道路运输经营的营运车辆和机动车驾驶员培训机构的教练车未按照规定参加车辆年度审验案</w:t>
            </w:r>
          </w:p>
        </w:tc>
        <w:tc>
          <w:tcPr>
            <w:tcW w:w="810" w:type="dxa"/>
            <w:tcBorders>
              <w:top w:val="outset" w:color="auto" w:sz="6" w:space="0"/>
              <w:bottom w:val="outset" w:color="auto" w:sz="6" w:space="0"/>
            </w:tcBorders>
            <w:shd w:val="clear" w:color="auto" w:fill="auto"/>
            <w:noWrap w:val="0"/>
            <w:vAlign w:val="center"/>
          </w:tcPr>
          <w:p w14:paraId="0E3B2C95">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1BA382A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165C0C2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新塔额交执运政简〔2025〕0100号</w:t>
            </w:r>
          </w:p>
        </w:tc>
      </w:tr>
      <w:tr w14:paraId="29313D54">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609" w:hRule="atLeast"/>
          <w:tblCellSpacing w:w="0" w:type="dxa"/>
        </w:trPr>
        <w:tc>
          <w:tcPr>
            <w:tcW w:w="899" w:type="dxa"/>
            <w:vMerge w:val="continue"/>
            <w:noWrap w:val="0"/>
            <w:vAlign w:val="center"/>
          </w:tcPr>
          <w:p w14:paraId="229F81F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6B9558D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145" w:type="dxa"/>
            <w:tcBorders>
              <w:top w:val="outset" w:color="auto" w:sz="6" w:space="0"/>
              <w:bottom w:val="outset" w:color="auto" w:sz="6" w:space="0"/>
            </w:tcBorders>
            <w:shd w:val="clear" w:color="auto" w:fill="auto"/>
            <w:noWrap w:val="0"/>
            <w:vAlign w:val="center"/>
          </w:tcPr>
          <w:p w14:paraId="5873683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10</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6984791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新疆新耀商贸有限公司</w:t>
            </w:r>
          </w:p>
        </w:tc>
        <w:tc>
          <w:tcPr>
            <w:tcW w:w="2880" w:type="dxa"/>
            <w:tcBorders>
              <w:top w:val="outset" w:color="auto" w:sz="6" w:space="0"/>
              <w:bottom w:val="outset" w:color="auto" w:sz="6" w:space="0"/>
            </w:tcBorders>
            <w:shd w:val="clear" w:color="auto" w:fill="auto"/>
            <w:noWrap w:val="0"/>
            <w:vAlign w:val="center"/>
          </w:tcPr>
          <w:p w14:paraId="328CA3CA">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新疆新耀商贸有限公司涉嫌从事道路运输经营的营运车辆和机动车驾驶员培训机构的教练车未按照规定参加车辆年度审验案</w:t>
            </w:r>
          </w:p>
        </w:tc>
        <w:tc>
          <w:tcPr>
            <w:tcW w:w="810" w:type="dxa"/>
            <w:tcBorders>
              <w:top w:val="outset" w:color="auto" w:sz="6" w:space="0"/>
              <w:bottom w:val="outset" w:color="auto" w:sz="6" w:space="0"/>
            </w:tcBorders>
            <w:shd w:val="clear" w:color="auto" w:fill="auto"/>
            <w:noWrap w:val="0"/>
            <w:vAlign w:val="center"/>
          </w:tcPr>
          <w:p w14:paraId="6C36D151">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0B51452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0EA53035">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01D6D80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新塔额交执运政简〔2025〕0101号</w:t>
            </w:r>
          </w:p>
        </w:tc>
      </w:tr>
      <w:tr w14:paraId="5D0F5A2E">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02F9202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3A37595C">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145" w:type="dxa"/>
            <w:tcBorders>
              <w:top w:val="outset" w:color="auto" w:sz="6" w:space="0"/>
              <w:bottom w:val="outset" w:color="auto" w:sz="6" w:space="0"/>
            </w:tcBorders>
            <w:shd w:val="clear" w:color="auto" w:fill="auto"/>
            <w:noWrap w:val="0"/>
            <w:vAlign w:val="center"/>
          </w:tcPr>
          <w:p w14:paraId="5E323FFF">
            <w:pPr>
              <w:keepNext w:val="0"/>
              <w:keepLines w:val="0"/>
              <w:widowControl/>
              <w:suppressLineNumbers w:val="0"/>
              <w:jc w:val="center"/>
              <w:textAlignment w:val="bottom"/>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10</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440D376B">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p>
          <w:p w14:paraId="18499729">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r>
              <w:rPr>
                <w:rFonts w:hint="eastAsia" w:ascii="宋体" w:hAnsi="宋体" w:eastAsia="宋体" w:cs="宋体"/>
                <w:i w:val="0"/>
                <w:iCs w:val="0"/>
                <w:caps w:val="0"/>
                <w:spacing w:val="0"/>
                <w:kern w:val="2"/>
                <w:sz w:val="15"/>
                <w:szCs w:val="15"/>
                <w:shd w:val="clear" w:fill="FFFFFF"/>
                <w:lang w:val="en-US" w:eastAsia="zh-CN" w:bidi="ar-SA"/>
              </w:rPr>
              <w:t>额敏汇通商品混凝土有限公司</w:t>
            </w:r>
          </w:p>
        </w:tc>
        <w:tc>
          <w:tcPr>
            <w:tcW w:w="2880" w:type="dxa"/>
            <w:tcBorders>
              <w:top w:val="outset" w:color="auto" w:sz="6" w:space="0"/>
              <w:bottom w:val="outset" w:color="auto" w:sz="6" w:space="0"/>
            </w:tcBorders>
            <w:shd w:val="clear" w:color="auto" w:fill="auto"/>
            <w:noWrap w:val="0"/>
            <w:vAlign w:val="center"/>
          </w:tcPr>
          <w:p w14:paraId="15FFFD6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额敏汇通商品混凝土有限公司涉嫌从事道路运输经营的营运车辆和机动车驾驶员培训机构的教练车未按照规定参加车辆年度审验案</w:t>
            </w:r>
          </w:p>
        </w:tc>
        <w:tc>
          <w:tcPr>
            <w:tcW w:w="810" w:type="dxa"/>
            <w:tcBorders>
              <w:top w:val="outset" w:color="auto" w:sz="6" w:space="0"/>
              <w:bottom w:val="outset" w:color="auto" w:sz="6" w:space="0"/>
            </w:tcBorders>
            <w:shd w:val="clear" w:color="auto" w:fill="auto"/>
            <w:noWrap w:val="0"/>
            <w:vAlign w:val="center"/>
          </w:tcPr>
          <w:p w14:paraId="4C56893B">
            <w:pPr>
              <w:jc w:val="center"/>
              <w:rPr>
                <w:rFonts w:hint="eastAsia" w:ascii="宋体" w:hAnsi="宋体" w:eastAsia="宋体" w:cs="宋体"/>
                <w:kern w:val="2"/>
                <w:sz w:val="15"/>
                <w:szCs w:val="15"/>
                <w:lang w:val="en-US" w:eastAsia="zh-CN" w:bidi="ar-SA"/>
              </w:rPr>
            </w:pPr>
            <w:r>
              <w:rPr>
                <w:rFonts w:hint="eastAsia" w:ascii="宋体" w:hAnsi="宋体" w:eastAsia="宋体" w:cs="宋体"/>
                <w:sz w:val="15"/>
                <w:szCs w:val="15"/>
              </w:rPr>
              <w:t>否</w:t>
            </w:r>
          </w:p>
        </w:tc>
        <w:tc>
          <w:tcPr>
            <w:tcW w:w="1170" w:type="dxa"/>
            <w:tcBorders>
              <w:top w:val="outset" w:color="auto" w:sz="6" w:space="0"/>
              <w:bottom w:val="outset" w:color="auto" w:sz="6" w:space="0"/>
            </w:tcBorders>
            <w:shd w:val="clear" w:color="auto" w:fill="auto"/>
            <w:noWrap w:val="0"/>
            <w:vAlign w:val="center"/>
          </w:tcPr>
          <w:p w14:paraId="26312538">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1000</w:t>
            </w:r>
          </w:p>
        </w:tc>
        <w:tc>
          <w:tcPr>
            <w:tcW w:w="3435" w:type="dxa"/>
            <w:tcBorders>
              <w:top w:val="outset" w:color="auto" w:sz="6" w:space="0"/>
              <w:bottom w:val="outset" w:color="auto" w:sz="6" w:space="0"/>
            </w:tcBorders>
            <w:shd w:val="clear" w:color="auto" w:fill="auto"/>
            <w:noWrap w:val="0"/>
            <w:vAlign w:val="center"/>
          </w:tcPr>
          <w:p w14:paraId="2A5D2F09">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61F9AE2C">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新塔额交执运政简〔2025〕0102号</w:t>
            </w:r>
          </w:p>
        </w:tc>
      </w:tr>
      <w:tr w14:paraId="3CFCF2A2">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78CE7658">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3B2226D9">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145" w:type="dxa"/>
            <w:tcBorders>
              <w:top w:val="outset" w:color="auto" w:sz="6" w:space="0"/>
              <w:bottom w:val="outset" w:color="auto" w:sz="6" w:space="0"/>
            </w:tcBorders>
            <w:shd w:val="clear" w:color="auto" w:fill="auto"/>
            <w:noWrap w:val="0"/>
            <w:vAlign w:val="center"/>
          </w:tcPr>
          <w:p w14:paraId="3FD5BCE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5"/>
                <w:szCs w:val="15"/>
                <w:u w:val="none"/>
                <w:lang w:val="en-US" w:eastAsia="zh-CN" w:bidi="ar"/>
              </w:rPr>
              <w:t>2025年</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10</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066C6B21">
            <w:pPr>
              <w:keepNext w:val="0"/>
              <w:keepLines w:val="0"/>
              <w:widowControl/>
              <w:suppressLineNumbers w:val="0"/>
              <w:jc w:val="center"/>
              <w:textAlignment w:val="bottom"/>
              <w:rPr>
                <w:rFonts w:hint="eastAsia" w:ascii="宋体" w:hAnsi="宋体" w:eastAsia="宋体" w:cs="宋体"/>
                <w:i w:val="0"/>
                <w:iCs w:val="0"/>
                <w:caps w:val="0"/>
                <w:spacing w:val="0"/>
                <w:kern w:val="2"/>
                <w:sz w:val="15"/>
                <w:szCs w:val="15"/>
                <w:shd w:val="clear" w:fill="FFFFFF"/>
                <w:lang w:val="en-US" w:eastAsia="zh-CN" w:bidi="ar-SA"/>
              </w:rPr>
            </w:pPr>
          </w:p>
          <w:p w14:paraId="5BAC2B21">
            <w:pPr>
              <w:keepNext w:val="0"/>
              <w:keepLines w:val="0"/>
              <w:widowControl/>
              <w:suppressLineNumbers w:val="0"/>
              <w:jc w:val="center"/>
              <w:textAlignment w:val="bottom"/>
              <w:rPr>
                <w:rFonts w:hint="eastAsia" w:ascii="宋体" w:hAnsi="宋体" w:eastAsia="宋体" w:cs="宋体"/>
                <w:kern w:val="2"/>
                <w:sz w:val="20"/>
                <w:szCs w:val="20"/>
                <w:lang w:val="en-US" w:eastAsia="zh-CN" w:bidi="ar-SA"/>
              </w:rPr>
            </w:pPr>
            <w:r>
              <w:rPr>
                <w:rFonts w:hint="eastAsia" w:ascii="宋体" w:hAnsi="宋体" w:eastAsia="宋体" w:cs="宋体"/>
                <w:i w:val="0"/>
                <w:iCs w:val="0"/>
                <w:caps w:val="0"/>
                <w:spacing w:val="0"/>
                <w:kern w:val="2"/>
                <w:sz w:val="15"/>
                <w:szCs w:val="15"/>
                <w:shd w:val="clear" w:fill="FFFFFF"/>
                <w:lang w:val="en-US" w:eastAsia="zh-CN" w:bidi="ar-SA"/>
              </w:rPr>
              <w:t>额敏晟耀运输有限公司</w:t>
            </w:r>
          </w:p>
        </w:tc>
        <w:tc>
          <w:tcPr>
            <w:tcW w:w="2880" w:type="dxa"/>
            <w:tcBorders>
              <w:top w:val="outset" w:color="auto" w:sz="6" w:space="0"/>
              <w:bottom w:val="outset" w:color="auto" w:sz="6" w:space="0"/>
            </w:tcBorders>
            <w:shd w:val="clear" w:color="auto" w:fill="auto"/>
            <w:noWrap w:val="0"/>
            <w:vAlign w:val="center"/>
          </w:tcPr>
          <w:p w14:paraId="3F78ABF7">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7737CFB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额敏晟耀运输有限公司涉嫌从事道路运输经营的营运车辆和机动车驾驶员培训机构的教练车未按照规定参加车辆年度审验案</w:t>
            </w:r>
          </w:p>
        </w:tc>
        <w:tc>
          <w:tcPr>
            <w:tcW w:w="810" w:type="dxa"/>
            <w:tcBorders>
              <w:top w:val="outset" w:color="auto" w:sz="6" w:space="0"/>
              <w:bottom w:val="outset" w:color="auto" w:sz="6" w:space="0"/>
            </w:tcBorders>
            <w:shd w:val="clear" w:color="auto" w:fill="auto"/>
            <w:noWrap w:val="0"/>
            <w:vAlign w:val="center"/>
          </w:tcPr>
          <w:p w14:paraId="53C10DF3">
            <w:pPr>
              <w:jc w:val="center"/>
              <w:rPr>
                <w:rFonts w:hint="default" w:ascii="宋体" w:hAnsi="宋体" w:eastAsia="宋体" w:cs="宋体"/>
                <w:kern w:val="2"/>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否</w:t>
            </w:r>
          </w:p>
        </w:tc>
        <w:tc>
          <w:tcPr>
            <w:tcW w:w="1170" w:type="dxa"/>
            <w:tcBorders>
              <w:top w:val="outset" w:color="auto" w:sz="6" w:space="0"/>
              <w:bottom w:val="outset" w:color="auto" w:sz="6" w:space="0"/>
            </w:tcBorders>
            <w:shd w:val="clear" w:color="auto" w:fill="auto"/>
            <w:noWrap w:val="0"/>
            <w:vAlign w:val="center"/>
          </w:tcPr>
          <w:p w14:paraId="5D3ECAE6">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5"/>
                <w:szCs w:val="15"/>
                <w:u w:val="none"/>
                <w:lang w:val="en-US" w:eastAsia="zh-CN" w:bidi="ar"/>
              </w:rPr>
              <w:t>1000</w:t>
            </w:r>
          </w:p>
        </w:tc>
        <w:tc>
          <w:tcPr>
            <w:tcW w:w="3435" w:type="dxa"/>
            <w:tcBorders>
              <w:top w:val="outset" w:color="auto" w:sz="6" w:space="0"/>
              <w:bottom w:val="outset" w:color="auto" w:sz="6" w:space="0"/>
            </w:tcBorders>
            <w:shd w:val="clear" w:color="auto" w:fill="auto"/>
            <w:noWrap w:val="0"/>
            <w:vAlign w:val="center"/>
          </w:tcPr>
          <w:p w14:paraId="6C28A404">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09955987">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新塔额交执运政简〔2025〕0103号</w:t>
            </w:r>
          </w:p>
        </w:tc>
      </w:tr>
      <w:bookmarkEnd w:id="1"/>
      <w:bookmarkEnd w:id="2"/>
    </w:tbl>
    <w:p w14:paraId="10A76A24">
      <w:pPr>
        <w:rPr>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6522A"/>
    <w:rsid w:val="023A5714"/>
    <w:rsid w:val="07E1567D"/>
    <w:rsid w:val="0DE32167"/>
    <w:rsid w:val="11D54C50"/>
    <w:rsid w:val="130B7EEE"/>
    <w:rsid w:val="17173599"/>
    <w:rsid w:val="1C8054A9"/>
    <w:rsid w:val="1E7D02F5"/>
    <w:rsid w:val="1F693FC3"/>
    <w:rsid w:val="23E7405F"/>
    <w:rsid w:val="2572277A"/>
    <w:rsid w:val="29924D42"/>
    <w:rsid w:val="2AF13D8E"/>
    <w:rsid w:val="2C2912A1"/>
    <w:rsid w:val="2CA451E4"/>
    <w:rsid w:val="3001084F"/>
    <w:rsid w:val="31F84007"/>
    <w:rsid w:val="35B83FE4"/>
    <w:rsid w:val="38B247E4"/>
    <w:rsid w:val="38B3427F"/>
    <w:rsid w:val="3E9A1FA2"/>
    <w:rsid w:val="404B17A6"/>
    <w:rsid w:val="429E51A3"/>
    <w:rsid w:val="4356522A"/>
    <w:rsid w:val="44B72DD8"/>
    <w:rsid w:val="46FB0BB0"/>
    <w:rsid w:val="474D36DB"/>
    <w:rsid w:val="47E86474"/>
    <w:rsid w:val="4C0078C3"/>
    <w:rsid w:val="4E015B87"/>
    <w:rsid w:val="4E1458CD"/>
    <w:rsid w:val="4FB61D55"/>
    <w:rsid w:val="51952F80"/>
    <w:rsid w:val="59C7413C"/>
    <w:rsid w:val="5ABF62C1"/>
    <w:rsid w:val="678B3379"/>
    <w:rsid w:val="67A27F96"/>
    <w:rsid w:val="69F85C4B"/>
    <w:rsid w:val="6CA9147F"/>
    <w:rsid w:val="72000C89"/>
    <w:rsid w:val="729143EC"/>
    <w:rsid w:val="756E083E"/>
    <w:rsid w:val="79F1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431</Words>
  <Characters>502</Characters>
  <Lines>0</Lines>
  <Paragraphs>0</Paragraphs>
  <TotalTime>10</TotalTime>
  <ScaleCrop>false</ScaleCrop>
  <LinksUpToDate>false</LinksUpToDate>
  <CharactersWithSpaces>541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2025-05-12T08:57:00Z</dcterms:created>
  <dc:creator>hetui</dc:creator>
  <cp:lastModifiedBy>hetui</cp:lastModifiedBy>
  <cp:lastPrinted>2025-11-03T05:09:00Z</cp:lastPrinted>
  <dcterms:modified xsi:type="dcterms:W3CDTF">2025-11-11T01:10:46Z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5DAC82967B9A46AFA108F0044B436910_13</vt:lpwstr>
  </property>
  <property fmtid="{D5CDD505-2E9C-101B-9397-08002B2CF9AE}" pid="4" name="KSOTemplateDocerSaveRecord">
    <vt:lpwstr>eyJoZGlkIjoiYTNmMWM1NzBmNTcyMDM0MDY2M2JiM2E3YTZjNGJiMDgiLCJ1c2VySWQiOiI2NjI1OTQwMzQifQ==</vt:lpwstr>
  </property>
</Properties>
</file>