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局行政处罚案件公示结果</w:t>
      </w:r>
    </w:p>
    <w:p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【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】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29日至5月10日</w:t>
      </w:r>
    </w:p>
    <w:p>
      <w:pPr>
        <w:widowControl/>
        <w:ind w:right="96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ascii="宋体" w:hAnsi="宋体" w:cs="宋体"/>
          <w:kern w:val="0"/>
          <w:sz w:val="32"/>
          <w:szCs w:val="32"/>
        </w:rPr>
        <w:t>填报单位：</w:t>
      </w:r>
      <w:r>
        <w:rPr>
          <w:rFonts w:hint="eastAsia" w:ascii="宋体" w:hAnsi="宋体" w:cs="宋体"/>
          <w:kern w:val="0"/>
          <w:sz w:val="32"/>
          <w:szCs w:val="32"/>
        </w:rPr>
        <w:t>额</w:t>
      </w:r>
      <w:r>
        <w:rPr>
          <w:rFonts w:ascii="宋体" w:hAnsi="宋体" w:cs="宋体"/>
          <w:kern w:val="0"/>
          <w:sz w:val="32"/>
          <w:szCs w:val="32"/>
        </w:rPr>
        <w:t>敏县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交通运输局</w:t>
      </w:r>
      <w:r>
        <w:rPr>
          <w:rFonts w:hint="eastAsia" w:ascii="宋体" w:hAnsi="宋体" w:cs="宋体"/>
          <w:kern w:val="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 xml:space="preserve">         </w:t>
      </w:r>
      <w:r>
        <w:rPr>
          <w:rFonts w:ascii="宋体" w:hAnsi="宋体" w:cs="宋体"/>
          <w:kern w:val="0"/>
          <w:sz w:val="32"/>
          <w:szCs w:val="32"/>
        </w:rPr>
        <w:t>填报日期：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2024.4.26</w:t>
      </w:r>
    </w:p>
    <w:tbl>
      <w:tblPr>
        <w:tblStyle w:val="2"/>
        <w:tblW w:w="1398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40"/>
        <w:gridCol w:w="1260"/>
        <w:gridCol w:w="3060"/>
        <w:gridCol w:w="2880"/>
        <w:gridCol w:w="720"/>
        <w:gridCol w:w="1260"/>
        <w:gridCol w:w="35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处罚案件总数（个）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处罚时间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车属单位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违法事由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是否采取强制措施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处罚结果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案号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tblCellSpacing w:w="0" w:type="dxa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5月7日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额敏县坤鸿建材销售有限公司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32"/>
                <w:szCs w:val="32"/>
                <w:lang w:val="en-US"/>
              </w:rPr>
              <w:t>未按照规定的周期和频次进行车辆综合性能检测和技术等级评定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3000.00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新塔额交执运政〔2024〕025号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4月29日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新疆兴塔运输（集团）额敏县鸿运运输有限责任公司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生产经营单位的主要负责人未履行《中华人民共和国安全生产法》规定的安全生产管理职责案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20000.00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新塔额交执运政〔2024〕028号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5月8日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祖鲁布哈尔·木塔力甫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未取得道路运输经营许可，擅自从事道路客运经营案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ind w:firstLine="320" w:firstLineChars="100"/>
              <w:jc w:val="both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10000.00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新塔额交执运政〔2024〕026号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tblCellSpacing w:w="0" w:type="dxa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5月9日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新疆万多商贸有限公司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从事道路运输经营的营运车辆和机</w:t>
            </w:r>
            <w:r>
              <w:rPr>
                <w:rFonts w:hint="default" w:ascii="宋体" w:hAnsi="宋体" w:cs="宋体"/>
                <w:kern w:val="0"/>
                <w:sz w:val="32"/>
                <w:szCs w:val="32"/>
              </w:rPr>
              <w:t>动车驾驶员培训机构的教练车，未按照规定参加车辆年度审验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500.00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60626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新塔额交执运政简〔2024〕041号</w:t>
            </w:r>
          </w:p>
        </w:tc>
      </w:tr>
    </w:tbl>
    <w:p/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D6546"/>
    <w:rsid w:val="60A80574"/>
    <w:rsid w:val="6D3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2024-05-10T04:38:00Z</dcterms:created>
  <dc:creator> 沙漠听海</dc:creator>
  <cp:lastModifiedBy>Administrator</cp:lastModifiedBy>
  <dcterms:modified xsi:type="dcterms:W3CDTF">2024-05-10T08:45:03Z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