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华文中宋" w:hAnsi="华文中宋" w:eastAsia="华文中宋" w:cs="华文中宋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44"/>
          <w:szCs w:val="44"/>
        </w:rPr>
        <w:t>额敏县</w:t>
      </w:r>
      <w:r>
        <w:rPr>
          <w:rFonts w:hint="eastAsia" w:ascii="华文中宋" w:hAnsi="华文中宋" w:eastAsia="华文中宋" w:cs="华文中宋"/>
          <w:b/>
          <w:bCs/>
          <w:kern w:val="0"/>
          <w:sz w:val="44"/>
          <w:szCs w:val="44"/>
          <w:lang w:val="en-US" w:eastAsia="zh-CN"/>
        </w:rPr>
        <w:t>交通运输</w:t>
      </w:r>
      <w:r>
        <w:rPr>
          <w:rFonts w:hint="eastAsia" w:ascii="华文中宋" w:hAnsi="华文中宋" w:eastAsia="华文中宋" w:cs="华文中宋"/>
          <w:b/>
          <w:bCs/>
          <w:kern w:val="0"/>
          <w:sz w:val="44"/>
          <w:szCs w:val="44"/>
        </w:rPr>
        <w:t>局行政处罚案件公示结果</w:t>
      </w:r>
    </w:p>
    <w:p>
      <w:pPr>
        <w:widowControl/>
        <w:jc w:val="center"/>
        <w:rPr>
          <w:rFonts w:hint="default" w:ascii="方正小标宋简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lang w:eastAsia="zh-CN"/>
        </w:rPr>
        <w:t>【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2024</w:t>
      </w:r>
      <w:r>
        <w:rPr>
          <w:rFonts w:hint="eastAsia" w:ascii="宋体" w:hAnsi="宋体" w:cs="宋体"/>
          <w:b/>
          <w:bCs/>
          <w:kern w:val="0"/>
          <w:sz w:val="24"/>
          <w:lang w:eastAsia="zh-CN"/>
        </w:rPr>
        <w:t>】</w:t>
      </w:r>
      <w:r>
        <w:rPr>
          <w:rFonts w:hint="eastAsia" w:ascii="宋体" w:hAnsi="宋体" w:cs="宋体"/>
          <w:b/>
          <w:bCs/>
          <w:kern w:val="0"/>
          <w:sz w:val="24"/>
        </w:rPr>
        <w:t>年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4"/>
        </w:rPr>
        <w:t>月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22日至4月26日</w:t>
      </w:r>
    </w:p>
    <w:p>
      <w:pPr>
        <w:widowControl/>
        <w:ind w:right="960"/>
        <w:rPr>
          <w:rFonts w:hint="default" w:ascii="宋体" w:hAnsi="宋体" w:eastAsia="宋体" w:cs="宋体"/>
          <w:kern w:val="0"/>
          <w:sz w:val="24"/>
          <w:lang w:val="en-US" w:eastAsia="zh-CN"/>
        </w:rPr>
      </w:pPr>
      <w:r>
        <w:rPr>
          <w:rFonts w:ascii="宋体" w:hAnsi="宋体" w:cs="宋体"/>
          <w:kern w:val="0"/>
          <w:sz w:val="24"/>
        </w:rPr>
        <w:t>填报单位：</w:t>
      </w:r>
      <w:r>
        <w:rPr>
          <w:rFonts w:hint="eastAsia" w:ascii="宋体" w:hAnsi="宋体" w:cs="宋体"/>
          <w:kern w:val="0"/>
          <w:sz w:val="24"/>
        </w:rPr>
        <w:t>额</w:t>
      </w:r>
      <w:r>
        <w:rPr>
          <w:rFonts w:ascii="宋体" w:hAnsi="宋体" w:cs="宋体"/>
          <w:kern w:val="0"/>
          <w:sz w:val="24"/>
        </w:rPr>
        <w:t>敏县</w:t>
      </w:r>
      <w:r>
        <w:rPr>
          <w:rFonts w:hint="eastAsia" w:ascii="宋体" w:hAnsi="宋体" w:cs="宋体"/>
          <w:kern w:val="0"/>
          <w:sz w:val="24"/>
          <w:lang w:val="en-US" w:eastAsia="zh-CN"/>
        </w:rPr>
        <w:t>交通运输局</w:t>
      </w:r>
      <w:r>
        <w:rPr>
          <w:rFonts w:hint="eastAsia" w:ascii="宋体" w:hAnsi="宋体" w:cs="宋体"/>
          <w:kern w:val="0"/>
          <w:sz w:val="24"/>
        </w:rPr>
        <w:t xml:space="preserve">                                                            </w:t>
      </w:r>
      <w:r>
        <w:rPr>
          <w:rFonts w:ascii="宋体" w:hAnsi="宋体" w:cs="宋体"/>
          <w:kern w:val="0"/>
          <w:sz w:val="24"/>
        </w:rPr>
        <w:t>填报日期：</w:t>
      </w:r>
      <w:r>
        <w:rPr>
          <w:rFonts w:hint="eastAsia" w:ascii="宋体" w:hAnsi="宋体" w:cs="宋体"/>
          <w:kern w:val="0"/>
          <w:sz w:val="24"/>
          <w:lang w:val="en-US" w:eastAsia="zh-CN"/>
        </w:rPr>
        <w:t>2024.4.26</w:t>
      </w:r>
    </w:p>
    <w:tbl>
      <w:tblPr>
        <w:tblStyle w:val="2"/>
        <w:tblW w:w="14149" w:type="dxa"/>
        <w:tblCellSpacing w:w="0" w:type="dxa"/>
        <w:tblInd w:w="-16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"/>
        <w:gridCol w:w="540"/>
        <w:gridCol w:w="1260"/>
        <w:gridCol w:w="2689"/>
        <w:gridCol w:w="3480"/>
        <w:gridCol w:w="735"/>
        <w:gridCol w:w="1260"/>
        <w:gridCol w:w="32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处罚案件总数（个）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处罚时间</w:t>
            </w:r>
          </w:p>
        </w:tc>
        <w:tc>
          <w:tcPr>
            <w:tcW w:w="26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车属单位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违法事由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是否采取强制措施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处罚结果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案号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  <w:tblCellSpacing w:w="0" w:type="dxa"/>
        </w:trPr>
        <w:tc>
          <w:tcPr>
            <w:tcW w:w="89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4月22日</w:t>
            </w:r>
          </w:p>
        </w:tc>
        <w:tc>
          <w:tcPr>
            <w:tcW w:w="26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额敏县德隆商贸有限公司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  <w:t>从事道路运输经营的营运车辆和机动车驾驶员培训机构的教练车，未按照规定参加车辆年度审验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500.00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t>新塔额交执运政简〔2024</w:t>
            </w:r>
            <w:r>
              <w:rPr>
                <w:rFonts w:hint="default"/>
              </w:rPr>
              <w:t>〕035号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4月23日</w:t>
            </w:r>
          </w:p>
        </w:tc>
        <w:tc>
          <w:tcPr>
            <w:tcW w:w="26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赵瑾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从事道路运输经营的营运车辆和机动车驾驶员培训机构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的教练车，未按照规定参加车辆年度审验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  <w:t>免于处罚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新塔额交执运政〔2024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〕021号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4月15日</w:t>
            </w:r>
          </w:p>
        </w:tc>
        <w:tc>
          <w:tcPr>
            <w:tcW w:w="26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新疆兴塔运输（集团）额敏县鸿运运输有限责任公司</w:t>
            </w:r>
          </w:p>
        </w:tc>
        <w:tc>
          <w:tcPr>
            <w:tcW w:w="3480" w:type="dxa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涉嫌客运班车不按照批准的配客站点停靠或者不按照规定的线路、日发班次下限行驶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180" w:firstLineChars="100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2000.00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新塔额交执运政简〔2024〕036号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tblCellSpacing w:w="0" w:type="dxa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4月23日</w:t>
            </w:r>
          </w:p>
        </w:tc>
        <w:tc>
          <w:tcPr>
            <w:tcW w:w="26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额敏县双礼商贸有限公司</w:t>
            </w:r>
          </w:p>
        </w:tc>
        <w:tc>
          <w:tcPr>
            <w:tcW w:w="3480" w:type="dxa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从事道路运输经营的营运车辆和机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动车驾驶员培训机构的教练车，未按照规定参加车辆年度审验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500.00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60626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新塔额交执运政简〔2024〕037号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4月23日</w:t>
            </w:r>
          </w:p>
        </w:tc>
        <w:tc>
          <w:tcPr>
            <w:tcW w:w="26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额敏县坤鸿建材销售有限公司</w:t>
            </w:r>
          </w:p>
        </w:tc>
        <w:tc>
          <w:tcPr>
            <w:tcW w:w="3480" w:type="dxa"/>
            <w:noWrap w:val="0"/>
            <w:vAlign w:val="top"/>
          </w:tcPr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从事道路运输经营的营运车辆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和机动车驾驶员培训机构的教练车，未按照规定参加车辆年度审验</w:t>
            </w:r>
            <w:bookmarkStart w:id="0" w:name="_GoBack"/>
            <w:bookmarkEnd w:id="0"/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  <w:t>免于处罚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60626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新塔额交执运政〔2024〕024号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4月23日</w:t>
            </w:r>
          </w:p>
        </w:tc>
        <w:tc>
          <w:tcPr>
            <w:tcW w:w="26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额敏县坤鸿建材销售有限公司</w:t>
            </w:r>
          </w:p>
        </w:tc>
        <w:tc>
          <w:tcPr>
            <w:tcW w:w="3480" w:type="dxa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未按照规定的周期和频次进行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车辆综合性能检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测和技术等级评定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  <w:t>免于处罚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新塔额交执运政〔2024〕025号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4月15日</w:t>
            </w:r>
          </w:p>
        </w:tc>
        <w:tc>
          <w:tcPr>
            <w:tcW w:w="26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新疆兴塔运输（集团）额敏县鸿运运输有限责任公司</w:t>
            </w:r>
          </w:p>
        </w:tc>
        <w:tc>
          <w:tcPr>
            <w:tcW w:w="3480" w:type="dxa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客运班车不按照批准的配客站点停靠或者不按照规定的线路、日发班次下限行驶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2000.00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新塔额交执运政简〔2024〕036号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D27D2"/>
    <w:rsid w:val="218A4806"/>
    <w:rsid w:val="2E9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2024-04-26T10:40:00Z</dcterms:created>
  <dc:creator> 沙漠听海</dc:creator>
  <cp:lastModifiedBy>Administrator</cp:lastModifiedBy>
  <dcterms:modified xsi:type="dcterms:W3CDTF">2024-04-27T04:18:16Z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