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widowControl/>
        <w:jc w:val="center"/>
        <w:rPr>
          <w:rFonts w:hint="eastAsia" w:ascii="华文中宋" w:hAnsi="华文中宋" w:eastAsia="华文中宋" w:cs="华文中宋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</w:rPr>
        <w:t>额敏县</w:t>
      </w:r>
      <w:r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  <w:lang w:val="en-US" w:eastAsia="zh-CN"/>
        </w:rPr>
        <w:t>交通运输</w:t>
      </w:r>
      <w:r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</w:rPr>
        <w:t>局行政处罚案件公示结果</w:t>
      </w:r>
    </w:p>
    <w:p>
      <w:pPr>
        <w:widowControl/>
        <w:jc w:val="center"/>
        <w:rPr>
          <w:rFonts w:hint="default" w:ascii="方正小标宋简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【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2023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】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年10月20日至11月23日</w:t>
      </w:r>
    </w:p>
    <w:p>
      <w:pPr>
        <w:widowControl/>
        <w:ind w:right="96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ascii="宋体" w:hAnsi="宋体" w:cs="宋体"/>
          <w:kern w:val="0"/>
          <w:sz w:val="24"/>
        </w:rPr>
        <w:t>填报单位：</w:t>
      </w:r>
      <w:r>
        <w:rPr>
          <w:rFonts w:hint="eastAsia" w:ascii="宋体" w:hAnsi="宋体" w:cs="宋体"/>
          <w:kern w:val="0"/>
          <w:sz w:val="24"/>
        </w:rPr>
        <w:t>额</w:t>
      </w:r>
      <w:r>
        <w:rPr>
          <w:rFonts w:ascii="宋体" w:hAnsi="宋体" w:cs="宋体"/>
          <w:kern w:val="0"/>
          <w:sz w:val="24"/>
        </w:rPr>
        <w:t>敏县</w:t>
      </w:r>
      <w:r>
        <w:rPr>
          <w:rFonts w:hint="eastAsia" w:ascii="宋体" w:hAnsi="宋体" w:cs="宋体"/>
          <w:kern w:val="0"/>
          <w:sz w:val="24"/>
          <w:lang w:val="en-US" w:eastAsia="zh-CN"/>
        </w:rPr>
        <w:t>交通运输局</w:t>
      </w:r>
      <w:r>
        <w:rPr>
          <w:rFonts w:hint="eastAsia" w:ascii="宋体" w:hAnsi="宋体" w:cs="宋体"/>
          <w:kern w:val="0"/>
          <w:sz w:val="24"/>
        </w:rPr>
        <w:t xml:space="preserve">                                                            </w:t>
      </w:r>
      <w:r>
        <w:rPr>
          <w:rFonts w:ascii="宋体" w:hAnsi="宋体" w:cs="宋体"/>
          <w:kern w:val="0"/>
          <w:sz w:val="24"/>
        </w:rPr>
        <w:t>填报日期：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2023年11 月</w:t>
      </w:r>
    </w:p>
    <w:tbl>
      <w:tblPr>
        <w:tblStyle w:val="2"/>
        <w:tblW w:w="13976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516"/>
        <w:gridCol w:w="1204"/>
        <w:gridCol w:w="2787"/>
        <w:gridCol w:w="2000"/>
        <w:gridCol w:w="1575"/>
        <w:gridCol w:w="688"/>
        <w:gridCol w:w="1204"/>
        <w:gridCol w:w="33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处罚案件总数（个）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处罚时间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车属单位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违法事由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处罚依据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是否采取强制措施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处罚结果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案号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tblCellSpacing w:w="0" w:type="dxa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10月24日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塔城市金帝出租车有限责任公司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拒载、议价、途中甩客或者故意绕道行驶的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《巡游出租汽车经营服务管理规定》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新塔额交执运政简〔2023〕126号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额敏县双礼商贸有限公司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不按规定参加年度审验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《新疆维吾尔自治区道路运输条例》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新塔额交执运政简〔2023〕127号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11月21日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新疆新耀商贸有限公司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不按规定参加年度审验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《新疆维吾尔自治区道路运输条例》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新塔额交执运政简〔2023〕128号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tblCellSpacing w:w="0" w:type="dxa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11月21日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新疆新耀商贸有限公司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不按规定参加年度审验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《新疆维吾尔自治区道路运输条例》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新塔额交执运政简〔2023〕129号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11月21日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额敏县晟耀运输有限公司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不按规定参加年度审验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《新疆维吾尔自治区道路运输条例》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新塔额交执运政简〔2023〕130号</w:t>
            </w:r>
          </w:p>
        </w:tc>
      </w:tr>
    </w:tbl>
    <w:p/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06EBE"/>
    <w:rsid w:val="64406EBE"/>
    <w:rsid w:val="6489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2023-11-22T08:59:00Z</dcterms:created>
  <dc:creator> 沙漠听海</dc:creator>
  <cp:lastModifiedBy> 沙漠听海</cp:lastModifiedBy>
  <cp:lastPrinted>2023-11-23T02:48:00Z</cp:lastPrinted>
  <dcterms:modified xsi:type="dcterms:W3CDTF">2023-11-23T03:40:18Z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