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Cs w:val="32"/>
        </w:rPr>
        <w:t>附</w:t>
      </w:r>
      <w:r>
        <w:rPr>
          <w:rFonts w:hint="eastAsia" w:eastAsia="仿宋"/>
          <w:b/>
          <w:kern w:val="0"/>
          <w:szCs w:val="32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24" w:firstLineChars="200"/>
        <w:jc w:val="left"/>
        <w:rPr>
          <w:rFonts w:eastAsia="仿宋"/>
          <w:color w:val="000000"/>
        </w:rPr>
      </w:pPr>
      <w:r>
        <w:rPr>
          <w:rFonts w:eastAsia="仿宋"/>
          <w:color w:val="000000"/>
        </w:rPr>
        <w:t>本次抽检的食用农产品包括水果类。</w:t>
      </w:r>
      <w:bookmarkStart w:id="0" w:name="_GoBack"/>
      <w:bookmarkEnd w:id="0"/>
    </w:p>
    <w:p>
      <w:pPr>
        <w:widowControl/>
        <w:ind w:firstLine="624" w:firstLineChars="200"/>
        <w:jc w:val="left"/>
        <w:rPr>
          <w:rFonts w:eastAsia="仿宋"/>
        </w:rPr>
      </w:pPr>
      <w:r>
        <w:rPr>
          <w:rFonts w:eastAsia="仿宋"/>
        </w:rPr>
        <w:t>抽检依据是</w:t>
      </w:r>
      <w:r>
        <w:rPr>
          <w:rFonts w:hint="eastAsia" w:eastAsia="仿宋"/>
          <w:u w:val="single"/>
        </w:rPr>
        <w:t>GB 2760-2014《食品安全国家标准 食品添加剂使用标准》</w:t>
      </w:r>
      <w:r>
        <w:rPr>
          <w:rFonts w:hint="eastAsia" w:eastAsia="仿宋"/>
          <w:u w:val="single"/>
          <w:lang w:eastAsia="zh-CN"/>
        </w:rPr>
        <w:t>、</w:t>
      </w:r>
      <w:r>
        <w:rPr>
          <w:rFonts w:hint="default" w:ascii="Times New Roman" w:hAnsi="Times New Roman" w:eastAsia="仿宋" w:cs="Times New Roman"/>
          <w:u w:val="single"/>
        </w:rPr>
        <w:t>GB 2763-20</w:t>
      </w:r>
      <w:r>
        <w:rPr>
          <w:rFonts w:hint="eastAsia" w:ascii="Times New Roman" w:hAnsi="Times New Roman" w:eastAsia="仿宋" w:cs="Times New Roman"/>
          <w:u w:val="singl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u w:val="single"/>
        </w:rPr>
        <w:t>《食品安全国家标准 食品中农药最大残留量》</w:t>
      </w:r>
      <w:r>
        <w:rPr>
          <w:rFonts w:eastAsia="仿宋"/>
          <w:u w:val="single"/>
        </w:rPr>
        <w:t>等标准及产品明示标准和指标的要求</w:t>
      </w:r>
      <w:r>
        <w:rPr>
          <w:rFonts w:eastAsia="仿宋"/>
        </w:rPr>
        <w:t>。</w:t>
      </w:r>
    </w:p>
    <w:p>
      <w:pPr>
        <w:widowControl/>
        <w:ind w:firstLine="624" w:firstLineChars="200"/>
        <w:jc w:val="left"/>
        <w:textAlignment w:val="center"/>
        <w:rPr>
          <w:rFonts w:eastAsia="仿宋"/>
        </w:rPr>
      </w:pPr>
      <w:r>
        <w:rPr>
          <w:rFonts w:eastAsia="仿宋"/>
        </w:rPr>
        <w:t>抽检项目包括</w:t>
      </w:r>
      <w:r>
        <w:rPr>
          <w:rFonts w:hint="eastAsia" w:eastAsia="仿宋"/>
          <w:color w:val="auto"/>
          <w:highlight w:val="none"/>
        </w:rPr>
        <w:t>啶虫脒、毒死蜱、克百威</w:t>
      </w:r>
      <w:r>
        <w:rPr>
          <w:rFonts w:hint="eastAsia" w:eastAsia="仿宋"/>
          <w:color w:val="auto"/>
          <w:highlight w:val="none"/>
          <w:lang w:eastAsia="zh-CN"/>
        </w:rPr>
        <w:t>、敌敌畏、氯吡脲、多菌灵、氧乐果、糖精钠（以糖精钠）、联苯菊酯、丙溴磷、氯唑磷</w:t>
      </w:r>
      <w:r>
        <w:rPr>
          <w:rFonts w:eastAsia="仿宋"/>
          <w:highlight w:val="none"/>
        </w:rPr>
        <w:t>等指标。</w:t>
      </w:r>
    </w:p>
    <w:p>
      <w:pPr>
        <w:widowControl/>
        <w:ind w:firstLine="624" w:firstLineChars="200"/>
        <w:jc w:val="left"/>
        <w:textAlignment w:val="center"/>
        <w:rPr>
          <w:rFonts w:eastAsia="仿宋"/>
          <w:b/>
          <w:spacing w:val="20"/>
          <w:szCs w:val="32"/>
        </w:rPr>
      </w:pPr>
      <w:r>
        <w:rPr>
          <w:rFonts w:eastAsia="仿宋"/>
        </w:rPr>
        <w:t>共抽检我</w:t>
      </w:r>
      <w:r>
        <w:rPr>
          <w:rFonts w:hint="eastAsia" w:eastAsia="仿宋"/>
          <w:lang w:val="en-US" w:eastAsia="zh-CN"/>
        </w:rPr>
        <w:t>县2</w:t>
      </w:r>
      <w:r>
        <w:rPr>
          <w:rFonts w:hint="default" w:ascii="Times New Roman" w:hAnsi="Times New Roman" w:eastAsia="仿宋" w:cs="Times New Roman"/>
          <w:strike w:val="0"/>
        </w:rPr>
        <w:t>家</w:t>
      </w:r>
      <w:r>
        <w:rPr>
          <w:rFonts w:hint="eastAsia" w:ascii="Times New Roman" w:hAnsi="Times New Roman" w:eastAsia="仿宋" w:cs="Times New Roman"/>
          <w:strike w:val="0"/>
          <w:lang w:eastAsia="zh-CN"/>
        </w:rPr>
        <w:t>经营单位</w:t>
      </w:r>
      <w:r>
        <w:rPr>
          <w:rFonts w:eastAsia="仿宋"/>
        </w:rPr>
        <w:t>的</w:t>
      </w:r>
      <w:r>
        <w:rPr>
          <w:rFonts w:hint="eastAsia" w:eastAsia="仿宋"/>
          <w:lang w:val="en-US" w:eastAsia="zh-CN"/>
        </w:rPr>
        <w:t>5</w:t>
      </w:r>
      <w:r>
        <w:rPr>
          <w:rFonts w:eastAsia="仿宋"/>
        </w:rPr>
        <w:t>批次</w:t>
      </w:r>
      <w:r>
        <w:rPr>
          <w:rFonts w:hint="eastAsia" w:eastAsia="仿宋"/>
          <w:lang w:val="en-US" w:eastAsia="zh-CN"/>
        </w:rPr>
        <w:t>样品</w:t>
      </w:r>
      <w:r>
        <w:rPr>
          <w:rFonts w:eastAsia="仿宋"/>
        </w:rPr>
        <w:t>，</w:t>
      </w:r>
      <w:r>
        <w:rPr>
          <w:rFonts w:hint="eastAsia" w:eastAsia="仿宋"/>
          <w:lang w:val="en-US" w:eastAsia="zh-CN"/>
        </w:rPr>
        <w:t>其中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样品5批次，不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样品0批次</w:t>
      </w:r>
      <w:r>
        <w:rPr>
          <w:rFonts w:hint="eastAsia" w:eastAsia="仿宋"/>
        </w:rPr>
        <w:t>。</w:t>
      </w:r>
    </w:p>
    <w:p>
      <w:pPr>
        <w:widowControl/>
        <w:adjustRightInd w:val="0"/>
        <w:jc w:val="both"/>
        <w:rPr>
          <w:rFonts w:hint="default" w:eastAsia="仿宋"/>
          <w:b/>
          <w:bCs/>
          <w:kern w:val="0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3437"/>
    <w:rsid w:val="70B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2023-11-21T05:30:00Z</dcterms:created>
  <dc:creator>Administrator</dc:creator>
  <cp:lastModifiedBy>Administrator</cp:lastModifiedBy>
  <dcterms:modified xsi:type="dcterms:W3CDTF">2023-11-21T05:30:44Z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