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黑体" w:hAnsi="ArialUnicodeMS" w:eastAsia="黑体"/>
          <w:color w:val="000000"/>
          <w:sz w:val="44"/>
          <w:szCs w:val="44"/>
          <w:lang w:val="en-US" w:eastAsia="zh-CN"/>
        </w:rPr>
      </w:pPr>
      <w:r>
        <w:rPr>
          <w:rFonts w:hint="eastAsia" w:ascii="黑体" w:hAnsi="ArialUnicodeMS" w:eastAsia="黑体"/>
          <w:color w:val="000000"/>
          <w:sz w:val="44"/>
          <w:szCs w:val="44"/>
          <w:lang w:val="en-US" w:eastAsia="zh-CN"/>
        </w:rPr>
        <w:t xml:space="preserve">       </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额敏县额敏河滨河建设服务中心</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lang w:eastAsia="zh-CN"/>
        </w:rPr>
        <w:t>2026</w:t>
      </w:r>
      <w:r>
        <w:rPr>
          <w:rFonts w:hint="eastAsia" w:ascii="黑体" w:hAnsi="ArialUnicodeMS" w:eastAsia="黑体"/>
          <w:color w:val="000000"/>
          <w:sz w:val="44"/>
          <w:szCs w:val="44"/>
        </w:rPr>
        <w:t>年部门预算公开</w:t>
      </w:r>
    </w:p>
    <w:p>
      <w:pPr>
        <w:jc w:val="center"/>
        <w:rPr>
          <w:rFonts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第一部分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第二部分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第三部分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关于额敏县额敏河滨河建设服务中心</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关于额敏县额敏河滨河建设服务中心</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关于额敏县额敏河滨河建设服务中心</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关于额敏县额敏河滨河建设服务中心</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关于额敏县额敏河滨河建设服务中心</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关于额敏县额敏河滨河建设服务中心</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关于额敏县额敏河滨河建设服务中心</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关于额敏县额敏河滨河建设服务中心</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关于额敏县额敏河滨河建设服务中心</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关于额敏县额敏河滨河建设服务中心</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关于额敏县额敏河滨河建设服务中心</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ascii="宋体" w:hAnsi="宋体"/>
          <w:color w:val="000000"/>
          <w:sz w:val="18"/>
          <w:szCs w:val="18"/>
        </w:rPr>
      </w:pPr>
    </w:p>
    <w:p>
      <w:pPr>
        <w:pStyle w:val="2"/>
        <w:spacing w:before="156" w:beforeLines="50" w:after="156" w:afterLines="50" w:line="560" w:lineRule="exact"/>
        <w:jc w:val="center"/>
        <w:rPr>
          <w:rFonts w:ascii="黑体" w:eastAsia="黑体"/>
          <w:sz w:val="30"/>
          <w:szCs w:val="30"/>
        </w:rPr>
      </w:pPr>
      <w:r>
        <w:rPr>
          <w:rFonts w:ascii="黑体" w:eastAsia="黑体"/>
          <w:sz w:val="30"/>
          <w:szCs w:val="30"/>
        </w:rPr>
        <w:br w:type="page"/>
      </w:r>
      <w:r>
        <w:rPr>
          <w:rFonts w:hint="eastAsia" w:ascii="黑体" w:eastAsia="黑体"/>
          <w:sz w:val="30"/>
          <w:szCs w:val="30"/>
        </w:rPr>
        <w:t xml:space="preserve">第一部分  </w:t>
      </w:r>
      <w:r>
        <w:rPr>
          <w:rFonts w:hint="eastAsia" w:ascii="黑体" w:eastAsia="黑体"/>
          <w:sz w:val="30"/>
          <w:szCs w:val="30"/>
          <w:lang w:eastAsia="zh-CN"/>
        </w:rPr>
        <w:t>2026</w:t>
      </w:r>
      <w:r>
        <w:rPr>
          <w:rFonts w:hint="eastAsia" w:ascii="黑体" w:eastAsia="黑体"/>
          <w:sz w:val="30"/>
          <w:szCs w:val="30"/>
        </w:rPr>
        <w:t>年部门概况</w:t>
      </w:r>
    </w:p>
    <w:p>
      <w:pPr>
        <w:pStyle w:val="3"/>
        <w:numPr>
          <w:ilvl w:val="0"/>
          <w:numId w:val="1"/>
        </w:numPr>
        <w:spacing w:before="0" w:after="0" w:line="560" w:lineRule="exact"/>
        <w:ind w:left="0" w:firstLine="565" w:firstLineChars="201"/>
        <w:rPr>
          <w:rFonts w:ascii="仿宋" w:hAnsi="华文楷体" w:eastAsia="仿宋"/>
          <w:sz w:val="28"/>
          <w:szCs w:val="28"/>
        </w:rPr>
      </w:pPr>
      <w:r>
        <w:rPr>
          <w:rFonts w:hint="eastAsia" w:ascii="仿宋" w:hAnsi="华文楷体" w:eastAsia="仿宋"/>
          <w:sz w:val="28"/>
          <w:szCs w:val="28"/>
        </w:rPr>
        <w:t>主要职能</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（一）负责额敏河城区段沿河两岸的工程建筑和景点的管理、维护工作,对建管范围内的违法违规行为按相关规定予以处置；　　</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（二）积极配合额敏河后期建设和设计规划工作，并提出合理化建议；加强与城建、水利、电力等部门的协调，与园林、环卫共同配合，合理利用资源设备做好建设管理工作；　　</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（三）负责管区内的法规宣传工作；建立健全设施、绿化、环境卫生等管理的档案资料和制度；建立管区内服务项目的准入制度；　　</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（四）负责对管区使用的资金进行监管，并按规定纳入财政专户管理；负责管区内国有资源的管理；负责管区旅游景点的开发、经营；　　　　</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（五）负责管区内各类设施的管理、维护工作；制订公共设施管理制度和办法，保证设施的正常运转和完好；　　</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 xml:space="preserve">（六）负责做好管区内的治安和综合治理工作，确保管区的安全；负责排查安全隐患，并对安全隐患进行及时整治；　　  </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（七）负责管区内的卫生保洁工作；负责公共厕所、果皮箱、垃圾房、垃圾斗等设施的清洁、清理和维护、维修工作；负责管区内的冰雪清扫、清除工作。</w:t>
      </w:r>
    </w:p>
    <w:p>
      <w:pPr>
        <w:pStyle w:val="3"/>
        <w:numPr>
          <w:ilvl w:val="0"/>
          <w:numId w:val="1"/>
        </w:numPr>
        <w:spacing w:before="0" w:after="0" w:line="560" w:lineRule="exact"/>
        <w:ind w:left="0" w:firstLine="565" w:firstLineChars="201"/>
        <w:rPr>
          <w:rFonts w:ascii="仿宋" w:hAnsi="华文楷体" w:eastAsia="仿宋"/>
          <w:sz w:val="28"/>
          <w:szCs w:val="28"/>
        </w:rPr>
      </w:pPr>
      <w:r>
        <w:rPr>
          <w:rFonts w:hint="eastAsia" w:ascii="仿宋" w:hAnsi="华文楷体" w:eastAsia="仿宋"/>
          <w:sz w:val="28"/>
          <w:szCs w:val="28"/>
        </w:rPr>
        <w:t>机构设置及人员情况</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额敏县额敏河滨河建设管理局无下属预算单位，下设4个科室，分别是：维修科、保洁科、执法科、办公室。</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额敏县额敏河滨河建设管理局编制数15，实有人数15人，其中：在职14人，增加0人；退休1人，增加0人；离休0人，增加0人。</w:t>
      </w:r>
    </w:p>
    <w:p>
      <w:pPr>
        <w:pStyle w:val="2"/>
        <w:spacing w:before="156" w:beforeLines="50" w:after="156" w:afterLines="50" w:line="400" w:lineRule="exact"/>
        <w:jc w:val="center"/>
        <w:rPr>
          <w:rFonts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 xml:space="preserve">第二部分 </w:t>
      </w:r>
      <w:r>
        <w:rPr>
          <w:rFonts w:hint="eastAsia" w:ascii="黑体" w:eastAsia="黑体"/>
          <w:sz w:val="30"/>
          <w:szCs w:val="30"/>
          <w:lang w:eastAsia="zh-CN"/>
        </w:rPr>
        <w:t>2026</w:t>
      </w:r>
      <w:r>
        <w:rPr>
          <w:rFonts w:hint="eastAsia" w:ascii="黑体" w:eastAsia="黑体"/>
          <w:sz w:val="30"/>
          <w:szCs w:val="30"/>
        </w:rPr>
        <w:t>年部门预算公开表</w:t>
      </w:r>
    </w:p>
    <w:p>
      <w:pPr>
        <w:jc w:val="left"/>
        <w:rPr>
          <w:rFonts w:ascii="宋体" w:hAnsi="宋体"/>
          <w:color w:val="000000"/>
          <w:sz w:val="18"/>
          <w:szCs w:val="18"/>
        </w:rPr>
      </w:pPr>
      <w:r>
        <w:rPr>
          <w:rFonts w:hint="eastAsia" w:ascii="宋体" w:hAnsi="宋体"/>
          <w:color w:val="000000"/>
          <w:sz w:val="18"/>
          <w:szCs w:val="18"/>
        </w:rPr>
        <w:t>表1</w:t>
      </w:r>
    </w:p>
    <w:p>
      <w:pPr>
        <w:jc w:val="center"/>
        <w:rPr>
          <w:rFonts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7"/>
        <w:tblW w:w="9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ascii="宋体" w:hAnsi="宋体"/>
                <w:color w:val="000000"/>
                <w:sz w:val="18"/>
                <w:szCs w:val="18"/>
              </w:rPr>
            </w:pPr>
            <w:r>
              <w:rPr>
                <w:rFonts w:hint="eastAsia"/>
                <w:color w:val="000000"/>
                <w:sz w:val="18"/>
                <w:szCs w:val="18"/>
              </w:rPr>
              <w:t>编制部门：额敏县额敏河滨河建设服务中心</w:t>
            </w:r>
          </w:p>
        </w:tc>
        <w:tc>
          <w:tcPr>
            <w:tcW w:w="1150" w:type="dxa"/>
            <w:tcBorders>
              <w:top w:val="nil"/>
              <w:left w:val="nil"/>
              <w:bottom w:val="single" w:color="auto" w:sz="4" w:space="0"/>
              <w:right w:val="nil"/>
            </w:tcBorders>
            <w:shd w:val="clear" w:color="auto" w:fill="auto"/>
          </w:tcPr>
          <w:p>
            <w:pPr>
              <w:jc w:val="right"/>
              <w:rPr>
                <w:rFonts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255.22</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255.22</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255.22</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26.18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195.35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21.14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21"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tcPr>
          <w:p>
            <w:pPr>
              <w:rPr>
                <w:rFonts w:ascii="宋体" w:hAnsi="宋体" w:cs="宋体"/>
                <w:color w:val="000000"/>
                <w:sz w:val="18"/>
                <w:szCs w:val="18"/>
              </w:rPr>
            </w:pPr>
          </w:p>
        </w:tc>
        <w:tc>
          <w:tcPr>
            <w:tcW w:w="1150"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255.22</w:t>
            </w:r>
          </w:p>
        </w:tc>
        <w:tc>
          <w:tcPr>
            <w:tcW w:w="3600" w:type="dxa"/>
            <w:shd w:val="clear" w:color="auto" w:fill="auto"/>
          </w:tcPr>
          <w:p>
            <w:pPr>
              <w:jc w:val="center"/>
              <w:rPr>
                <w:rFonts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255.22</w:t>
            </w:r>
          </w:p>
        </w:tc>
      </w:tr>
    </w:tbl>
    <w:p>
      <w:pPr>
        <w:widowControl/>
        <w:jc w:val="left"/>
        <w:rPr>
          <w:rFonts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表2</w:t>
      </w:r>
    </w:p>
    <w:p>
      <w:pPr>
        <w:jc w:val="center"/>
        <w:rPr>
          <w:rFonts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7"/>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pPr>
              <w:jc w:val="left"/>
              <w:rPr>
                <w:rFonts w:ascii="宋体" w:hAnsi="宋体"/>
                <w:sz w:val="18"/>
                <w:szCs w:val="18"/>
              </w:rPr>
            </w:pPr>
            <w:r>
              <w:rPr>
                <w:rFonts w:hint="eastAsia"/>
                <w:color w:val="000000"/>
                <w:sz w:val="18"/>
                <w:szCs w:val="18"/>
              </w:rPr>
              <w:t>编制部门：额敏县额敏河滨河建设服务中心</w:t>
            </w:r>
          </w:p>
        </w:tc>
        <w:tc>
          <w:tcPr>
            <w:tcW w:w="6420" w:type="dxa"/>
            <w:gridSpan w:val="7"/>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0" w:hRule="atLeast"/>
          <w:tblHeader/>
        </w:trPr>
        <w:tc>
          <w:tcPr>
            <w:tcW w:w="334" w:type="dxa"/>
            <w:shd w:val="clear" w:color="auto" w:fill="auto"/>
            <w:vAlign w:val="center"/>
          </w:tcPr>
          <w:p>
            <w:pPr>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pPr>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pPr>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pPr>
              <w:jc w:val="center"/>
              <w:rPr>
                <w:rFonts w:ascii="宋体" w:hAnsi="宋体"/>
                <w:sz w:val="18"/>
                <w:szCs w:val="18"/>
              </w:rPr>
            </w:pPr>
          </w:p>
        </w:tc>
        <w:tc>
          <w:tcPr>
            <w:tcW w:w="1070" w:type="dxa"/>
            <w:vMerge w:val="continue"/>
            <w:shd w:val="clear" w:color="auto" w:fill="auto"/>
            <w:vAlign w:val="center"/>
          </w:tcPr>
          <w:p>
            <w:pPr>
              <w:jc w:val="center"/>
              <w:rPr>
                <w:rFonts w:ascii="宋体" w:hAnsi="宋体"/>
                <w:sz w:val="18"/>
                <w:szCs w:val="18"/>
              </w:rPr>
            </w:pPr>
          </w:p>
        </w:tc>
        <w:tc>
          <w:tcPr>
            <w:tcW w:w="1128"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pPr>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pPr>
              <w:jc w:val="center"/>
              <w:rPr>
                <w:rFonts w:ascii="宋体" w:hAnsi="宋体"/>
                <w:sz w:val="18"/>
                <w:szCs w:val="18"/>
              </w:rPr>
            </w:pPr>
          </w:p>
        </w:tc>
        <w:tc>
          <w:tcPr>
            <w:tcW w:w="876" w:type="dxa"/>
            <w:vMerge w:val="continue"/>
          </w:tcPr>
          <w:p>
            <w:pPr>
              <w:jc w:val="center"/>
              <w:rPr>
                <w:rFonts w:ascii="宋体" w:hAnsi="宋体"/>
                <w:sz w:val="18"/>
                <w:szCs w:val="18"/>
              </w:rPr>
            </w:pPr>
          </w:p>
        </w:tc>
        <w:tc>
          <w:tcPr>
            <w:tcW w:w="876" w:type="dxa"/>
            <w:vMerge w:val="continue"/>
          </w:tcPr>
          <w:p>
            <w:pPr>
              <w:jc w:val="center"/>
              <w:rPr>
                <w:rFonts w:ascii="宋体" w:hAnsi="宋体"/>
                <w:sz w:val="18"/>
                <w:szCs w:val="18"/>
              </w:rPr>
            </w:pPr>
          </w:p>
        </w:tc>
        <w:tc>
          <w:tcPr>
            <w:tcW w:w="876" w:type="dxa"/>
            <w:vMerge w:val="continue"/>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334"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pPr>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pPr>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pPr>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pPr>
              <w:jc w:val="center"/>
              <w:rPr>
                <w:rFonts w:ascii="宋体" w:hAnsi="宋体"/>
                <w:sz w:val="18"/>
                <w:szCs w:val="18"/>
              </w:rPr>
            </w:pPr>
            <w:r>
              <w:rPr>
                <w:rFonts w:hint="eastAsia" w:ascii="宋体" w:hAnsi="宋体"/>
                <w:sz w:val="18"/>
                <w:szCs w:val="18"/>
              </w:rPr>
              <w:t>4</w:t>
            </w:r>
          </w:p>
        </w:tc>
        <w:tc>
          <w:tcPr>
            <w:tcW w:w="328" w:type="dxa"/>
          </w:tcPr>
          <w:p>
            <w:pPr>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pPr>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pPr>
              <w:jc w:val="center"/>
              <w:rPr>
                <w:rFonts w:ascii="宋体" w:hAnsi="宋体"/>
                <w:sz w:val="18"/>
                <w:szCs w:val="18"/>
              </w:rPr>
            </w:pPr>
            <w:r>
              <w:rPr>
                <w:rFonts w:hint="eastAsia" w:ascii="宋体" w:hAnsi="宋体"/>
                <w:sz w:val="18"/>
                <w:szCs w:val="18"/>
              </w:rPr>
              <w:t>7</w:t>
            </w:r>
          </w:p>
        </w:tc>
        <w:tc>
          <w:tcPr>
            <w:tcW w:w="918" w:type="dxa"/>
          </w:tcPr>
          <w:p>
            <w:pPr>
              <w:jc w:val="center"/>
              <w:rPr>
                <w:rFonts w:ascii="宋体" w:hAnsi="宋体"/>
                <w:sz w:val="18"/>
                <w:szCs w:val="18"/>
              </w:rPr>
            </w:pPr>
            <w:r>
              <w:rPr>
                <w:rFonts w:hint="eastAsia" w:ascii="宋体" w:hAnsi="宋体"/>
                <w:sz w:val="18"/>
                <w:szCs w:val="18"/>
              </w:rPr>
              <w:t>8</w:t>
            </w:r>
          </w:p>
        </w:tc>
        <w:tc>
          <w:tcPr>
            <w:tcW w:w="876" w:type="dxa"/>
          </w:tcPr>
          <w:p>
            <w:pPr>
              <w:jc w:val="center"/>
              <w:rPr>
                <w:rFonts w:ascii="宋体" w:hAnsi="宋体"/>
                <w:sz w:val="18"/>
                <w:szCs w:val="18"/>
              </w:rPr>
            </w:pPr>
            <w:r>
              <w:rPr>
                <w:rFonts w:hint="eastAsia" w:ascii="宋体" w:hAnsi="宋体"/>
                <w:sz w:val="18"/>
                <w:szCs w:val="18"/>
              </w:rPr>
              <w:t>9</w:t>
            </w:r>
          </w:p>
        </w:tc>
        <w:tc>
          <w:tcPr>
            <w:tcW w:w="876" w:type="dxa"/>
          </w:tcPr>
          <w:p>
            <w:pPr>
              <w:jc w:val="center"/>
              <w:rPr>
                <w:rFonts w:ascii="宋体" w:hAnsi="宋体"/>
                <w:sz w:val="18"/>
                <w:szCs w:val="18"/>
              </w:rPr>
            </w:pPr>
            <w:r>
              <w:rPr>
                <w:rFonts w:hint="eastAsia" w:ascii="宋体" w:hAnsi="宋体"/>
                <w:sz w:val="18"/>
                <w:szCs w:val="18"/>
              </w:rPr>
              <w:t>10</w:t>
            </w:r>
          </w:p>
        </w:tc>
        <w:tc>
          <w:tcPr>
            <w:tcW w:w="876" w:type="dxa"/>
          </w:tcPr>
          <w:p>
            <w:pPr>
              <w:jc w:val="center"/>
              <w:rPr>
                <w:rFonts w:hint="eastAsia" w:ascii="宋体" w:hAnsi="宋体"/>
                <w:sz w:val="18"/>
                <w:szCs w:val="18"/>
              </w:rPr>
            </w:pPr>
            <w:r>
              <w:rPr>
                <w:rFonts w:hint="eastAsia" w:ascii="宋体" w:hAnsi="宋体"/>
                <w:sz w:val="18"/>
                <w:szCs w:val="18"/>
              </w:rPr>
              <w:t>11</w:t>
            </w:r>
          </w:p>
        </w:tc>
        <w:tc>
          <w:tcPr>
            <w:tcW w:w="876" w:type="dxa"/>
          </w:tcPr>
          <w:p>
            <w:pPr>
              <w:jc w:val="center"/>
              <w:rPr>
                <w:rFonts w:hint="eastAsia" w:ascii="宋体" w:hAnsi="宋体"/>
                <w:sz w:val="18"/>
                <w:szCs w:val="18"/>
              </w:rPr>
            </w:pPr>
            <w:r>
              <w:rPr>
                <w:rFonts w:hint="eastAsia" w:ascii="宋体" w:hAnsi="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center"/>
              <w:rPr>
                <w:rFonts w:ascii="宋体" w:hAnsi="宋体"/>
                <w:b/>
                <w:sz w:val="18"/>
                <w:szCs w:val="18"/>
              </w:rPr>
            </w:pPr>
            <w:r>
              <w:rPr>
                <w:rFonts w:hint="eastAsia" w:ascii="宋体" w:hAnsi="宋体"/>
                <w:b/>
                <w:color w:val="000000"/>
                <w:sz w:val="15"/>
                <w:szCs w:val="15"/>
              </w:rPr>
              <w:t>总计</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255.22</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255.22</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255.22</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社会保障和就业支出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26.18</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26.18</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26.18</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行政事业单位养老支出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26.18</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26.18</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26.18</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事业单位离退休</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1.02</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1.02</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1.02</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机关事业单位基本养老保险缴费支出</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25.16</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25.16</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25.16</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卫生健康支出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12.54</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12.54</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12.54</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11</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行政事业单位医疗</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12.54</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12.54</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12.54</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事业单位医疗</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12.54</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12.54</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12.54</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212</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城乡社区支出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195.35</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195.35</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195.35</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212</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03</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城乡社区公共设施</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195.35</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195.35</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195.35</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212</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03</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其他城乡社区公共设施支出</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195.35</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195.35</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195.35</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住房保障支出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21.14</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21.14</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21.14</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住房改革支出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21.14</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21.14</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21.14</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221</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住房公积金</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21.14</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21.14</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21.14</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表3</w:t>
      </w:r>
    </w:p>
    <w:p>
      <w:pPr>
        <w:jc w:val="center"/>
        <w:rPr>
          <w:rFonts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编制部门：额敏县额敏河滨河建设服务中心</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169" w:type="dxa"/>
            <w:vMerge w:val="restart"/>
            <w:shd w:val="clear" w:color="auto" w:fill="auto"/>
            <w:vAlign w:val="center"/>
          </w:tcPr>
          <w:p>
            <w:pPr>
              <w:jc w:val="center"/>
              <w:rPr>
                <w:sz w:val="18"/>
                <w:szCs w:val="18"/>
              </w:rPr>
            </w:pPr>
            <w:r>
              <w:rPr>
                <w:rFonts w:hint="eastAsia"/>
                <w:sz w:val="18"/>
                <w:szCs w:val="18"/>
              </w:rPr>
              <w:t>功能分类科目名称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14"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169" w:type="dxa"/>
            <w:shd w:val="clear" w:color="auto" w:fill="auto"/>
            <w:vAlign w:val="center"/>
          </w:tcPr>
          <w:p>
            <w:pPr>
              <w:jc w:val="center"/>
              <w:rPr>
                <w:sz w:val="18"/>
                <w:szCs w:val="18"/>
              </w:rPr>
            </w:pPr>
            <w:r>
              <w:rPr>
                <w:rFonts w:hint="eastAsia"/>
                <w:color w:val="000000"/>
                <w:sz w:val="18"/>
                <w:szCs w:val="18"/>
              </w:rPr>
              <w:t>※</w:t>
            </w:r>
          </w:p>
        </w:tc>
        <w:tc>
          <w:tcPr>
            <w:tcW w:w="1306" w:type="dxa"/>
            <w:shd w:val="clear" w:color="auto" w:fill="auto"/>
            <w:vAlign w:val="center"/>
          </w:tcPr>
          <w:p>
            <w:pPr>
              <w:jc w:val="center"/>
              <w:rPr>
                <w:sz w:val="18"/>
                <w:szCs w:val="18"/>
              </w:rPr>
            </w:pPr>
            <w:r>
              <w:rPr>
                <w:rFonts w:hint="eastAsia"/>
                <w:sz w:val="18"/>
                <w:szCs w:val="18"/>
              </w:rPr>
              <w:t>1</w:t>
            </w:r>
          </w:p>
        </w:tc>
        <w:tc>
          <w:tcPr>
            <w:tcW w:w="1306" w:type="dxa"/>
            <w:gridSpan w:val="2"/>
            <w:shd w:val="clear" w:color="auto" w:fill="auto"/>
            <w:vAlign w:val="center"/>
          </w:tcPr>
          <w:p>
            <w:pPr>
              <w:jc w:val="center"/>
              <w:rPr>
                <w:sz w:val="18"/>
                <w:szCs w:val="18"/>
              </w:rPr>
            </w:pPr>
            <w:r>
              <w:rPr>
                <w:rFonts w:hint="eastAsia"/>
                <w:sz w:val="18"/>
                <w:szCs w:val="18"/>
              </w:rPr>
              <w:t>2</w:t>
            </w:r>
          </w:p>
        </w:tc>
        <w:tc>
          <w:tcPr>
            <w:tcW w:w="1405"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center"/>
              <w:rPr>
                <w:rFonts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pPr>
              <w:jc w:val="right"/>
              <w:rPr>
                <w:b/>
                <w:sz w:val="18"/>
                <w:szCs w:val="18"/>
              </w:rPr>
            </w:pPr>
            <w:r>
              <w:rPr>
                <w:rFonts w:hint="eastAsia" w:ascii="宋体" w:hAnsi="宋体"/>
                <w:b/>
                <w:color w:val="000000"/>
                <w:sz w:val="18"/>
                <w:szCs w:val="18"/>
              </w:rPr>
              <w:t>255.22</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255.22</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社会保障和就业支出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26.18</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26.18</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行政事业单位养老支出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26.18</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26.18</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事业单位离退休</w:t>
            </w:r>
          </w:p>
        </w:tc>
        <w:tc>
          <w:tcPr>
            <w:tcW w:w="1306" w:type="dxa"/>
            <w:shd w:val="clear" w:color="auto" w:fill="auto"/>
            <w:vAlign w:val="center"/>
          </w:tcPr>
          <w:p>
            <w:pPr>
              <w:jc w:val="right"/>
              <w:rPr>
                <w:sz w:val="18"/>
                <w:szCs w:val="18"/>
              </w:rPr>
            </w:pPr>
            <w:r>
              <w:rPr>
                <w:rFonts w:hint="eastAsia" w:ascii="宋体" w:hAnsi="宋体"/>
                <w:color w:val="000000"/>
                <w:sz w:val="18"/>
                <w:szCs w:val="18"/>
              </w:rPr>
              <w:t>1.02</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1.02</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机关事业单位基本养老保险缴费支出</w:t>
            </w:r>
          </w:p>
        </w:tc>
        <w:tc>
          <w:tcPr>
            <w:tcW w:w="1306" w:type="dxa"/>
            <w:shd w:val="clear" w:color="auto" w:fill="auto"/>
            <w:vAlign w:val="center"/>
          </w:tcPr>
          <w:p>
            <w:pPr>
              <w:jc w:val="right"/>
              <w:rPr>
                <w:sz w:val="18"/>
                <w:szCs w:val="18"/>
              </w:rPr>
            </w:pPr>
            <w:r>
              <w:rPr>
                <w:rFonts w:hint="eastAsia" w:ascii="宋体" w:hAnsi="宋体"/>
                <w:color w:val="000000"/>
                <w:sz w:val="18"/>
                <w:szCs w:val="18"/>
              </w:rPr>
              <w:t>25.16</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25.16</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卫生健康支出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12.54</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12.54</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行政事业单位医疗</w:t>
            </w:r>
          </w:p>
        </w:tc>
        <w:tc>
          <w:tcPr>
            <w:tcW w:w="1306" w:type="dxa"/>
            <w:shd w:val="clear" w:color="auto" w:fill="auto"/>
            <w:vAlign w:val="center"/>
          </w:tcPr>
          <w:p>
            <w:pPr>
              <w:jc w:val="right"/>
              <w:rPr>
                <w:b/>
                <w:sz w:val="18"/>
                <w:szCs w:val="18"/>
              </w:rPr>
            </w:pPr>
            <w:r>
              <w:rPr>
                <w:rFonts w:hint="eastAsia" w:ascii="宋体" w:hAnsi="宋体"/>
                <w:b/>
                <w:color w:val="000000"/>
                <w:sz w:val="18"/>
                <w:szCs w:val="18"/>
              </w:rPr>
              <w:t>12.54</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12.54</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事业单位医疗</w:t>
            </w:r>
          </w:p>
        </w:tc>
        <w:tc>
          <w:tcPr>
            <w:tcW w:w="1306" w:type="dxa"/>
            <w:shd w:val="clear" w:color="auto" w:fill="auto"/>
            <w:vAlign w:val="center"/>
          </w:tcPr>
          <w:p>
            <w:pPr>
              <w:jc w:val="right"/>
              <w:rPr>
                <w:sz w:val="18"/>
                <w:szCs w:val="18"/>
              </w:rPr>
            </w:pPr>
            <w:r>
              <w:rPr>
                <w:rFonts w:hint="eastAsia" w:ascii="宋体" w:hAnsi="宋体"/>
                <w:color w:val="000000"/>
                <w:sz w:val="18"/>
                <w:szCs w:val="18"/>
              </w:rPr>
              <w:t>12.54</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12.54</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212</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城乡社区支出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195.35</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195.35</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212</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城乡社区公共设施</w:t>
            </w:r>
          </w:p>
        </w:tc>
        <w:tc>
          <w:tcPr>
            <w:tcW w:w="1306" w:type="dxa"/>
            <w:shd w:val="clear" w:color="auto" w:fill="auto"/>
            <w:vAlign w:val="center"/>
          </w:tcPr>
          <w:p>
            <w:pPr>
              <w:jc w:val="right"/>
              <w:rPr>
                <w:b/>
                <w:sz w:val="18"/>
                <w:szCs w:val="18"/>
              </w:rPr>
            </w:pPr>
            <w:r>
              <w:rPr>
                <w:rFonts w:hint="eastAsia" w:ascii="宋体" w:hAnsi="宋体"/>
                <w:b/>
                <w:color w:val="000000"/>
                <w:sz w:val="18"/>
                <w:szCs w:val="18"/>
              </w:rPr>
              <w:t>195.35</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195.35</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212</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03</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其他城乡社区公共设施支出</w:t>
            </w:r>
          </w:p>
        </w:tc>
        <w:tc>
          <w:tcPr>
            <w:tcW w:w="1306" w:type="dxa"/>
            <w:shd w:val="clear" w:color="auto" w:fill="auto"/>
            <w:vAlign w:val="center"/>
          </w:tcPr>
          <w:p>
            <w:pPr>
              <w:jc w:val="right"/>
              <w:rPr>
                <w:sz w:val="18"/>
                <w:szCs w:val="18"/>
              </w:rPr>
            </w:pPr>
            <w:r>
              <w:rPr>
                <w:rFonts w:hint="eastAsia" w:ascii="宋体" w:hAnsi="宋体"/>
                <w:color w:val="000000"/>
                <w:sz w:val="18"/>
                <w:szCs w:val="18"/>
              </w:rPr>
              <w:t>195.35</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195.35</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住房保障支出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21.14</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21.14</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住房改革支出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21.14</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21.14</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221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住房公积金</w:t>
            </w:r>
          </w:p>
        </w:tc>
        <w:tc>
          <w:tcPr>
            <w:tcW w:w="1306" w:type="dxa"/>
            <w:shd w:val="clear" w:color="auto" w:fill="auto"/>
            <w:vAlign w:val="center"/>
          </w:tcPr>
          <w:p>
            <w:pPr>
              <w:jc w:val="right"/>
              <w:rPr>
                <w:sz w:val="18"/>
                <w:szCs w:val="18"/>
              </w:rPr>
            </w:pPr>
            <w:r>
              <w:rPr>
                <w:rFonts w:hint="eastAsia" w:ascii="宋体" w:hAnsi="宋体"/>
                <w:color w:val="000000"/>
                <w:sz w:val="18"/>
                <w:szCs w:val="18"/>
              </w:rPr>
              <w:t>21.14</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21.14</w:t>
            </w:r>
          </w:p>
        </w:tc>
        <w:tc>
          <w:tcPr>
            <w:tcW w:w="1405" w:type="dxa"/>
            <w:shd w:val="clear" w:color="auto" w:fill="auto"/>
            <w:vAlign w:val="center"/>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表4</w:t>
      </w:r>
    </w:p>
    <w:p>
      <w:pPr>
        <w:jc w:val="center"/>
        <w:rPr>
          <w:rFonts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编制部门：额敏县额敏河滨河建设服务中心</w:t>
            </w:r>
          </w:p>
        </w:tc>
        <w:tc>
          <w:tcPr>
            <w:tcW w:w="1119" w:type="dxa"/>
            <w:gridSpan w:val="2"/>
            <w:tcBorders>
              <w:top w:val="nil"/>
              <w:left w:val="nil"/>
              <w:right w:val="nil"/>
            </w:tcBorders>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功能分类</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ascii="宋体" w:hAnsi="宋体"/>
                <w:color w:val="000000"/>
                <w:sz w:val="18"/>
                <w:szCs w:val="18"/>
              </w:rPr>
            </w:pPr>
            <w:r>
              <w:rPr>
                <w:rFonts w:hint="eastAsia" w:ascii="宋体" w:hAnsi="宋体"/>
                <w:b/>
                <w:color w:val="000000"/>
                <w:sz w:val="18"/>
                <w:szCs w:val="18"/>
              </w:rPr>
              <w:t>255.22</w:t>
            </w: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ascii="宋体" w:hAnsi="宋体"/>
                <w:color w:val="000000"/>
                <w:sz w:val="18"/>
                <w:szCs w:val="18"/>
              </w:rPr>
            </w:pPr>
          </w:p>
        </w:tc>
        <w:tc>
          <w:tcPr>
            <w:tcW w:w="1063" w:type="dxa"/>
            <w:gridSpan w:val="2"/>
            <w:shd w:val="clear" w:color="auto" w:fill="auto"/>
          </w:tcPr>
          <w:p>
            <w:pPr>
              <w:jc w:val="right"/>
              <w:rPr>
                <w:rFonts w:ascii="宋体" w:hAnsi="宋体"/>
                <w:color w:val="000000"/>
                <w:sz w:val="18"/>
                <w:szCs w:val="18"/>
              </w:rPr>
            </w:pPr>
          </w:p>
        </w:tc>
        <w:tc>
          <w:tcPr>
            <w:tcW w:w="1063" w:type="dxa"/>
            <w:gridSpan w:val="2"/>
          </w:tcPr>
          <w:p>
            <w:pPr>
              <w:jc w:val="right"/>
              <w:rPr>
                <w:rFonts w:ascii="宋体" w:hAnsi="宋体"/>
                <w:color w:val="000000"/>
                <w:sz w:val="18"/>
                <w:szCs w:val="18"/>
              </w:rPr>
            </w:pPr>
          </w:p>
        </w:tc>
        <w:tc>
          <w:tcPr>
            <w:tcW w:w="1051"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ascii="宋体" w:hAnsi="宋体"/>
                <w:color w:val="000000"/>
                <w:sz w:val="18"/>
                <w:szCs w:val="18"/>
              </w:rPr>
            </w:pPr>
            <w:r>
              <w:rPr>
                <w:rFonts w:hint="eastAsia" w:ascii="宋体" w:hAnsi="宋体"/>
                <w:color w:val="000000"/>
                <w:sz w:val="18"/>
                <w:szCs w:val="18"/>
              </w:rPr>
              <w:t>255.22</w:t>
            </w: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ascii="宋体" w:hAnsi="宋体"/>
                <w:color w:val="000000"/>
                <w:sz w:val="18"/>
                <w:szCs w:val="18"/>
              </w:rPr>
            </w:pPr>
          </w:p>
        </w:tc>
        <w:tc>
          <w:tcPr>
            <w:tcW w:w="1063" w:type="dxa"/>
            <w:gridSpan w:val="2"/>
            <w:shd w:val="clear" w:color="auto" w:fill="auto"/>
          </w:tcPr>
          <w:p>
            <w:pPr>
              <w:jc w:val="right"/>
              <w:rPr>
                <w:rFonts w:ascii="宋体" w:hAnsi="宋体"/>
                <w:color w:val="000000"/>
                <w:sz w:val="18"/>
                <w:szCs w:val="18"/>
              </w:rPr>
            </w:pPr>
          </w:p>
        </w:tc>
        <w:tc>
          <w:tcPr>
            <w:tcW w:w="1063" w:type="dxa"/>
            <w:gridSpan w:val="2"/>
          </w:tcPr>
          <w:p>
            <w:pPr>
              <w:jc w:val="right"/>
              <w:rPr>
                <w:rFonts w:ascii="宋体" w:hAnsi="宋体"/>
                <w:color w:val="000000"/>
                <w:sz w:val="18"/>
                <w:szCs w:val="18"/>
              </w:rPr>
            </w:pPr>
          </w:p>
        </w:tc>
        <w:tc>
          <w:tcPr>
            <w:tcW w:w="1051"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ascii="宋体" w:hAnsi="宋体"/>
                <w:color w:val="000000"/>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ascii="宋体" w:hAnsi="宋体"/>
                <w:color w:val="000000"/>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26.18</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26.18</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12.54</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12.54</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195.35</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195.35</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21.14</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21.14</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tcPr>
          <w:p>
            <w:pPr>
              <w:rPr>
                <w:rFonts w:ascii="宋体" w:hAnsi="宋体" w:cs="宋体"/>
                <w:color w:val="000000"/>
                <w:sz w:val="18"/>
                <w:szCs w:val="18"/>
              </w:rPr>
            </w:pP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255.22</w:t>
            </w:r>
          </w:p>
        </w:tc>
        <w:tc>
          <w:tcPr>
            <w:tcW w:w="2434" w:type="dxa"/>
            <w:shd w:val="clear" w:color="auto" w:fill="auto"/>
          </w:tcPr>
          <w:p>
            <w:pPr>
              <w:jc w:val="center"/>
              <w:rPr>
                <w:rFonts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255.22</w:t>
            </w:r>
          </w:p>
        </w:tc>
        <w:tc>
          <w:tcPr>
            <w:tcW w:w="1063" w:type="dxa"/>
            <w:gridSpan w:val="2"/>
            <w:shd w:val="clear" w:color="auto" w:fill="auto"/>
          </w:tcPr>
          <w:p>
            <w:pPr>
              <w:jc w:val="right"/>
              <w:rPr>
                <w:sz w:val="18"/>
                <w:szCs w:val="18"/>
              </w:rPr>
            </w:pPr>
            <w:r>
              <w:rPr>
                <w:rFonts w:hint="eastAsia" w:ascii="宋体" w:hAnsi="宋体"/>
                <w:b/>
                <w:color w:val="000000"/>
                <w:sz w:val="18"/>
                <w:szCs w:val="18"/>
              </w:rPr>
              <w:t>255.22</w:t>
            </w:r>
          </w:p>
        </w:tc>
        <w:tc>
          <w:tcPr>
            <w:tcW w:w="1063" w:type="dxa"/>
            <w:gridSpan w:val="2"/>
          </w:tcPr>
          <w:p>
            <w:pPr>
              <w:jc w:val="right"/>
              <w:rPr>
                <w:sz w:val="18"/>
                <w:szCs w:val="18"/>
              </w:rPr>
            </w:pPr>
          </w:p>
        </w:tc>
        <w:tc>
          <w:tcPr>
            <w:tcW w:w="1051" w:type="dxa"/>
            <w:shd w:val="clear" w:color="auto" w:fill="auto"/>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编制部门：额敏县额敏河滨河建设服务中心</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026" w:type="dxa"/>
            <w:vMerge w:val="restart"/>
            <w:shd w:val="clear" w:color="auto" w:fill="auto"/>
            <w:vAlign w:val="center"/>
          </w:tcPr>
          <w:p>
            <w:pPr>
              <w:jc w:val="center"/>
              <w:rPr>
                <w:sz w:val="18"/>
                <w:szCs w:val="18"/>
              </w:rPr>
            </w:pPr>
            <w:r>
              <w:rPr>
                <w:rFonts w:hint="eastAsia"/>
                <w:sz w:val="18"/>
                <w:szCs w:val="18"/>
              </w:rPr>
              <w:t>功能分类科目名称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2"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026"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255.22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255.22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26.18</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26.18</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26.18</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26.18</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1.02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1.02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25.16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25.16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12.54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12.54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12.54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12.54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12.54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12.54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212</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城乡社区支出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195.35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195.35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212</w:t>
            </w:r>
          </w:p>
        </w:tc>
        <w:tc>
          <w:tcPr>
            <w:tcW w:w="567" w:type="dxa"/>
            <w:shd w:val="clear" w:color="auto" w:fill="auto"/>
            <w:vAlign w:val="center"/>
          </w:tcPr>
          <w:p>
            <w:pPr>
              <w:jc w:val="center"/>
              <w:rPr>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城乡社区公共设施</w:t>
            </w:r>
          </w:p>
        </w:tc>
        <w:tc>
          <w:tcPr>
            <w:tcW w:w="1367" w:type="dxa"/>
            <w:shd w:val="clear" w:color="auto" w:fill="auto"/>
            <w:vAlign w:val="center"/>
          </w:tcPr>
          <w:p>
            <w:pPr>
              <w:jc w:val="right"/>
              <w:rPr>
                <w:b/>
                <w:sz w:val="18"/>
                <w:szCs w:val="18"/>
              </w:rPr>
            </w:pPr>
            <w:r>
              <w:rPr>
                <w:rFonts w:hint="eastAsia" w:ascii="宋体" w:hAnsi="宋体"/>
                <w:b/>
                <w:color w:val="000000"/>
                <w:sz w:val="18"/>
                <w:szCs w:val="18"/>
              </w:rPr>
              <w:t>195.35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195.35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212</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其他城乡社区公共设施支出</w:t>
            </w:r>
          </w:p>
        </w:tc>
        <w:tc>
          <w:tcPr>
            <w:tcW w:w="1367" w:type="dxa"/>
            <w:shd w:val="clear" w:color="auto" w:fill="auto"/>
            <w:vAlign w:val="center"/>
          </w:tcPr>
          <w:p>
            <w:pPr>
              <w:jc w:val="right"/>
              <w:rPr>
                <w:sz w:val="18"/>
                <w:szCs w:val="18"/>
              </w:rPr>
            </w:pPr>
            <w:r>
              <w:rPr>
                <w:rFonts w:hint="eastAsia" w:ascii="宋体" w:hAnsi="宋体"/>
                <w:color w:val="000000"/>
                <w:sz w:val="18"/>
                <w:szCs w:val="18"/>
              </w:rPr>
              <w:t>195.35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195.35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21.14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21.14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21.14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21.14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21.14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21.14</w:t>
            </w:r>
          </w:p>
        </w:tc>
        <w:tc>
          <w:tcPr>
            <w:tcW w:w="1427" w:type="dxa"/>
            <w:shd w:val="clear" w:color="auto" w:fill="auto"/>
            <w:vAlign w:val="center"/>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编制部门：额敏县额敏河滨河建设服务中心</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经济分类科目编码</w:t>
            </w:r>
          </w:p>
        </w:tc>
        <w:tc>
          <w:tcPr>
            <w:tcW w:w="4593" w:type="dxa"/>
            <w:vMerge w:val="restart"/>
            <w:shd w:val="clear" w:color="auto" w:fill="auto"/>
            <w:vAlign w:val="center"/>
          </w:tcPr>
          <w:p>
            <w:pPr>
              <w:jc w:val="center"/>
              <w:rPr>
                <w:sz w:val="18"/>
                <w:szCs w:val="18"/>
              </w:rPr>
            </w:pPr>
            <w:r>
              <w:rPr>
                <w:rFonts w:hint="eastAsia"/>
                <w:sz w:val="18"/>
                <w:szCs w:val="18"/>
              </w:rPr>
              <w:t>经济分类科目名称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5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593"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center"/>
              <w:rPr>
                <w:rFonts w:ascii="宋体" w:hAnsi="宋体"/>
                <w:b/>
                <w:sz w:val="18"/>
                <w:szCs w:val="18"/>
              </w:rPr>
            </w:pPr>
            <w:r>
              <w:rPr>
                <w:rFonts w:ascii="宋体" w:hAnsi="宋体"/>
                <w:b/>
                <w:sz w:val="18"/>
                <w:szCs w:val="18"/>
              </w:rPr>
              <w:t>总计</w:t>
            </w:r>
          </w:p>
        </w:tc>
        <w:tc>
          <w:tcPr>
            <w:tcW w:w="1367" w:type="dxa"/>
            <w:shd w:val="clear" w:color="auto" w:fill="auto"/>
            <w:vAlign w:val="center"/>
          </w:tcPr>
          <w:p>
            <w:pPr>
              <w:jc w:val="right"/>
              <w:rPr>
                <w:rFonts w:ascii="宋体" w:hAnsi="宋体"/>
                <w:b/>
                <w:sz w:val="18"/>
                <w:szCs w:val="18"/>
              </w:rPr>
            </w:pPr>
            <w:r>
              <w:rPr>
                <w:rFonts w:ascii="宋体" w:hAnsi="宋体"/>
                <w:b/>
                <w:sz w:val="18"/>
                <w:szCs w:val="18"/>
              </w:rPr>
              <w:t>255.22</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238.33</w:t>
            </w:r>
          </w:p>
        </w:tc>
        <w:tc>
          <w:tcPr>
            <w:tcW w:w="1427" w:type="dxa"/>
            <w:shd w:val="clear" w:color="auto" w:fill="auto"/>
            <w:vAlign w:val="center"/>
          </w:tcPr>
          <w:p>
            <w:pPr>
              <w:jc w:val="right"/>
              <w:rPr>
                <w:rFonts w:ascii="宋体" w:hAnsi="宋体"/>
                <w:b/>
                <w:sz w:val="18"/>
                <w:szCs w:val="18"/>
              </w:rPr>
            </w:pPr>
            <w:r>
              <w:rPr>
                <w:rFonts w:ascii="宋体" w:hAnsi="宋体"/>
                <w:b/>
                <w:sz w:val="18"/>
                <w:szCs w:val="18"/>
              </w:rPr>
              <w:t>16.89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301</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工资福利支出</w:t>
            </w:r>
          </w:p>
        </w:tc>
        <w:tc>
          <w:tcPr>
            <w:tcW w:w="1367" w:type="dxa"/>
            <w:shd w:val="clear" w:color="auto" w:fill="auto"/>
            <w:vAlign w:val="center"/>
          </w:tcPr>
          <w:p>
            <w:pPr>
              <w:jc w:val="right"/>
              <w:rPr>
                <w:rFonts w:ascii="宋体" w:hAnsi="宋体"/>
                <w:b/>
                <w:sz w:val="18"/>
                <w:szCs w:val="18"/>
              </w:rPr>
            </w:pPr>
            <w:r>
              <w:rPr>
                <w:rFonts w:ascii="宋体" w:hAnsi="宋体"/>
                <w:b/>
                <w:sz w:val="18"/>
                <w:szCs w:val="18"/>
              </w:rPr>
              <w:t>237.30</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237.30</w:t>
            </w:r>
          </w:p>
        </w:tc>
        <w:tc>
          <w:tcPr>
            <w:tcW w:w="1427" w:type="dxa"/>
            <w:shd w:val="clear" w:color="auto" w:fill="auto"/>
            <w:vAlign w:val="center"/>
          </w:tcPr>
          <w:p>
            <w:pPr>
              <w:jc w:val="right"/>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基本工资</w:t>
            </w:r>
          </w:p>
        </w:tc>
        <w:tc>
          <w:tcPr>
            <w:tcW w:w="1367" w:type="dxa"/>
            <w:shd w:val="clear" w:color="auto" w:fill="auto"/>
            <w:vAlign w:val="center"/>
          </w:tcPr>
          <w:p>
            <w:pPr>
              <w:jc w:val="right"/>
              <w:rPr>
                <w:rFonts w:ascii="宋体" w:hAnsi="宋体"/>
                <w:sz w:val="18"/>
                <w:szCs w:val="18"/>
              </w:rPr>
            </w:pPr>
            <w:r>
              <w:rPr>
                <w:rFonts w:ascii="宋体" w:hAnsi="宋体"/>
                <w:sz w:val="18"/>
                <w:szCs w:val="18"/>
              </w:rPr>
              <w:t>66.43</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66.43</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津贴补贴</w:t>
            </w:r>
          </w:p>
        </w:tc>
        <w:tc>
          <w:tcPr>
            <w:tcW w:w="1367" w:type="dxa"/>
            <w:shd w:val="clear" w:color="auto" w:fill="auto"/>
            <w:vAlign w:val="center"/>
          </w:tcPr>
          <w:p>
            <w:pPr>
              <w:jc w:val="right"/>
              <w:rPr>
                <w:rFonts w:ascii="宋体" w:hAnsi="宋体"/>
                <w:sz w:val="18"/>
                <w:szCs w:val="18"/>
              </w:rPr>
            </w:pPr>
            <w:r>
              <w:rPr>
                <w:rFonts w:ascii="宋体" w:hAnsi="宋体"/>
                <w:sz w:val="18"/>
                <w:szCs w:val="18"/>
              </w:rPr>
              <w:t>28.68</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28.68</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03</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奖金</w:t>
            </w:r>
          </w:p>
        </w:tc>
        <w:tc>
          <w:tcPr>
            <w:tcW w:w="1367" w:type="dxa"/>
            <w:shd w:val="clear" w:color="auto" w:fill="auto"/>
            <w:vAlign w:val="center"/>
          </w:tcPr>
          <w:p>
            <w:pPr>
              <w:jc w:val="right"/>
              <w:rPr>
                <w:rFonts w:ascii="宋体" w:hAnsi="宋体"/>
                <w:sz w:val="18"/>
                <w:szCs w:val="18"/>
              </w:rPr>
            </w:pPr>
            <w:r>
              <w:rPr>
                <w:rFonts w:ascii="宋体" w:hAnsi="宋体"/>
                <w:sz w:val="18"/>
                <w:szCs w:val="18"/>
              </w:rPr>
              <w:t>48.51</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48.51</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07</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绩效工资</w:t>
            </w:r>
          </w:p>
        </w:tc>
        <w:tc>
          <w:tcPr>
            <w:tcW w:w="1367" w:type="dxa"/>
            <w:shd w:val="clear" w:color="auto" w:fill="auto"/>
            <w:vAlign w:val="center"/>
          </w:tcPr>
          <w:p>
            <w:pPr>
              <w:jc w:val="right"/>
              <w:rPr>
                <w:rFonts w:ascii="宋体" w:hAnsi="宋体"/>
                <w:sz w:val="18"/>
                <w:szCs w:val="18"/>
              </w:rPr>
            </w:pPr>
            <w:r>
              <w:rPr>
                <w:rFonts w:ascii="宋体" w:hAnsi="宋体"/>
                <w:sz w:val="18"/>
                <w:szCs w:val="18"/>
              </w:rPr>
              <w:t>33.46</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33.46</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08</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机关事业单位基本养老保险缴费</w:t>
            </w:r>
          </w:p>
        </w:tc>
        <w:tc>
          <w:tcPr>
            <w:tcW w:w="1367" w:type="dxa"/>
            <w:shd w:val="clear" w:color="auto" w:fill="auto"/>
            <w:vAlign w:val="center"/>
          </w:tcPr>
          <w:p>
            <w:pPr>
              <w:jc w:val="right"/>
              <w:rPr>
                <w:rFonts w:ascii="宋体" w:hAnsi="宋体"/>
                <w:sz w:val="18"/>
                <w:szCs w:val="18"/>
              </w:rPr>
            </w:pPr>
            <w:r>
              <w:rPr>
                <w:rFonts w:ascii="宋体" w:hAnsi="宋体"/>
                <w:sz w:val="18"/>
                <w:szCs w:val="18"/>
              </w:rPr>
              <w:t>25.16</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25.16</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10</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职工基本医疗保险缴费</w:t>
            </w:r>
          </w:p>
        </w:tc>
        <w:tc>
          <w:tcPr>
            <w:tcW w:w="1367" w:type="dxa"/>
            <w:shd w:val="clear" w:color="auto" w:fill="auto"/>
            <w:vAlign w:val="center"/>
          </w:tcPr>
          <w:p>
            <w:pPr>
              <w:jc w:val="right"/>
              <w:rPr>
                <w:rFonts w:ascii="宋体" w:hAnsi="宋体"/>
                <w:sz w:val="18"/>
                <w:szCs w:val="18"/>
              </w:rPr>
            </w:pPr>
            <w:r>
              <w:rPr>
                <w:rFonts w:ascii="宋体" w:hAnsi="宋体"/>
                <w:sz w:val="18"/>
                <w:szCs w:val="18"/>
              </w:rPr>
              <w:t>12.54</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12.54</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其他社会保障缴费</w:t>
            </w:r>
          </w:p>
        </w:tc>
        <w:tc>
          <w:tcPr>
            <w:tcW w:w="1367" w:type="dxa"/>
            <w:shd w:val="clear" w:color="auto" w:fill="auto"/>
            <w:vAlign w:val="center"/>
          </w:tcPr>
          <w:p>
            <w:pPr>
              <w:jc w:val="right"/>
              <w:rPr>
                <w:rFonts w:ascii="宋体" w:hAnsi="宋体"/>
                <w:sz w:val="18"/>
                <w:szCs w:val="18"/>
              </w:rPr>
            </w:pPr>
            <w:r>
              <w:rPr>
                <w:rFonts w:ascii="宋体" w:hAnsi="宋体"/>
                <w:sz w:val="18"/>
                <w:szCs w:val="18"/>
              </w:rPr>
              <w:t>1.39</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1.39</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13</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住房公积金</w:t>
            </w:r>
          </w:p>
        </w:tc>
        <w:tc>
          <w:tcPr>
            <w:tcW w:w="1367" w:type="dxa"/>
            <w:shd w:val="clear" w:color="auto" w:fill="auto"/>
            <w:vAlign w:val="center"/>
          </w:tcPr>
          <w:p>
            <w:pPr>
              <w:jc w:val="right"/>
              <w:rPr>
                <w:rFonts w:ascii="宋体" w:hAnsi="宋体"/>
                <w:sz w:val="18"/>
                <w:szCs w:val="18"/>
              </w:rPr>
            </w:pPr>
            <w:r>
              <w:rPr>
                <w:rFonts w:ascii="宋体" w:hAnsi="宋体"/>
                <w:sz w:val="18"/>
                <w:szCs w:val="18"/>
              </w:rPr>
              <w:t>21.14</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21.14</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302</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商品和服务支出</w:t>
            </w:r>
          </w:p>
        </w:tc>
        <w:tc>
          <w:tcPr>
            <w:tcW w:w="1367" w:type="dxa"/>
            <w:shd w:val="clear" w:color="auto" w:fill="auto"/>
            <w:vAlign w:val="center"/>
          </w:tcPr>
          <w:p>
            <w:pPr>
              <w:jc w:val="right"/>
              <w:rPr>
                <w:rFonts w:ascii="宋体" w:hAnsi="宋体"/>
                <w:b/>
                <w:sz w:val="18"/>
                <w:szCs w:val="18"/>
              </w:rPr>
            </w:pPr>
            <w:r>
              <w:rPr>
                <w:rFonts w:ascii="宋体" w:hAnsi="宋体"/>
                <w:b/>
                <w:sz w:val="18"/>
                <w:szCs w:val="18"/>
              </w:rPr>
              <w:t>16.89</w:t>
            </w:r>
          </w:p>
        </w:tc>
        <w:tc>
          <w:tcPr>
            <w:tcW w:w="1366" w:type="dxa"/>
            <w:gridSpan w:val="2"/>
            <w:shd w:val="clear" w:color="auto" w:fill="auto"/>
            <w:vAlign w:val="center"/>
          </w:tcPr>
          <w:p>
            <w:pPr>
              <w:jc w:val="right"/>
              <w:rPr>
                <w:rFonts w:ascii="宋体" w:hAnsi="宋体"/>
                <w:b/>
                <w:sz w:val="18"/>
                <w:szCs w:val="18"/>
              </w:rPr>
            </w:pPr>
          </w:p>
        </w:tc>
        <w:tc>
          <w:tcPr>
            <w:tcW w:w="1427" w:type="dxa"/>
            <w:shd w:val="clear" w:color="auto" w:fill="auto"/>
            <w:vAlign w:val="center"/>
          </w:tcPr>
          <w:p>
            <w:pPr>
              <w:jc w:val="right"/>
              <w:rPr>
                <w:rFonts w:ascii="宋体" w:hAnsi="宋体"/>
                <w:b/>
                <w:sz w:val="18"/>
                <w:szCs w:val="18"/>
              </w:rPr>
            </w:pPr>
            <w:r>
              <w:rPr>
                <w:rFonts w:ascii="宋体" w:hAnsi="宋体"/>
                <w:b/>
                <w:sz w:val="18"/>
                <w:szCs w:val="18"/>
              </w:rPr>
              <w:t>16.89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办公费</w:t>
            </w:r>
          </w:p>
        </w:tc>
        <w:tc>
          <w:tcPr>
            <w:tcW w:w="1367" w:type="dxa"/>
            <w:shd w:val="clear" w:color="auto" w:fill="auto"/>
            <w:vAlign w:val="center"/>
          </w:tcPr>
          <w:p>
            <w:pPr>
              <w:jc w:val="right"/>
              <w:rPr>
                <w:rFonts w:ascii="宋体" w:hAnsi="宋体"/>
                <w:sz w:val="18"/>
                <w:szCs w:val="18"/>
              </w:rPr>
            </w:pPr>
            <w:r>
              <w:rPr>
                <w:rFonts w:ascii="宋体" w:hAnsi="宋体"/>
                <w:sz w:val="18"/>
                <w:szCs w:val="18"/>
              </w:rPr>
              <w:t>5.67</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04</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手续费</w:t>
            </w:r>
          </w:p>
        </w:tc>
        <w:tc>
          <w:tcPr>
            <w:tcW w:w="1367" w:type="dxa"/>
            <w:shd w:val="clear" w:color="auto" w:fill="auto"/>
            <w:vAlign w:val="center"/>
          </w:tcPr>
          <w:p>
            <w:pPr>
              <w:jc w:val="right"/>
              <w:rPr>
                <w:rFonts w:ascii="宋体" w:hAnsi="宋体"/>
                <w:sz w:val="18"/>
                <w:szCs w:val="18"/>
              </w:rPr>
            </w:pPr>
            <w:r>
              <w:rPr>
                <w:rFonts w:ascii="宋体" w:hAnsi="宋体"/>
                <w:sz w:val="18"/>
                <w:szCs w:val="18"/>
              </w:rPr>
              <w:t>0.03</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05</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水费</w:t>
            </w:r>
          </w:p>
        </w:tc>
        <w:tc>
          <w:tcPr>
            <w:tcW w:w="1367" w:type="dxa"/>
            <w:shd w:val="clear" w:color="auto" w:fill="auto"/>
            <w:vAlign w:val="center"/>
          </w:tcPr>
          <w:p>
            <w:pPr>
              <w:jc w:val="right"/>
              <w:rPr>
                <w:rFonts w:ascii="宋体" w:hAnsi="宋体"/>
                <w:sz w:val="18"/>
                <w:szCs w:val="18"/>
              </w:rPr>
            </w:pPr>
            <w:r>
              <w:rPr>
                <w:rFonts w:ascii="宋体" w:hAnsi="宋体"/>
                <w:sz w:val="18"/>
                <w:szCs w:val="18"/>
              </w:rPr>
              <w:t>0.20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07</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邮电费</w:t>
            </w:r>
          </w:p>
        </w:tc>
        <w:tc>
          <w:tcPr>
            <w:tcW w:w="1367" w:type="dxa"/>
            <w:shd w:val="clear" w:color="auto" w:fill="auto"/>
            <w:vAlign w:val="center"/>
          </w:tcPr>
          <w:p>
            <w:pPr>
              <w:jc w:val="right"/>
              <w:rPr>
                <w:rFonts w:ascii="宋体" w:hAnsi="宋体"/>
                <w:sz w:val="18"/>
                <w:szCs w:val="18"/>
              </w:rPr>
            </w:pPr>
            <w:r>
              <w:rPr>
                <w:rFonts w:ascii="宋体" w:hAnsi="宋体"/>
                <w:sz w:val="18"/>
                <w:szCs w:val="18"/>
              </w:rPr>
              <w:t>1.00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08</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取暖费</w:t>
            </w:r>
          </w:p>
        </w:tc>
        <w:tc>
          <w:tcPr>
            <w:tcW w:w="1367" w:type="dxa"/>
            <w:shd w:val="clear" w:color="auto" w:fill="auto"/>
            <w:vAlign w:val="center"/>
          </w:tcPr>
          <w:p>
            <w:pPr>
              <w:jc w:val="right"/>
              <w:rPr>
                <w:rFonts w:ascii="宋体" w:hAnsi="宋体"/>
                <w:sz w:val="18"/>
                <w:szCs w:val="18"/>
              </w:rPr>
            </w:pPr>
            <w:r>
              <w:rPr>
                <w:rFonts w:ascii="宋体" w:hAnsi="宋体"/>
                <w:sz w:val="18"/>
                <w:szCs w:val="18"/>
              </w:rPr>
              <w:t>1.74</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13</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维修（护）费</w:t>
            </w:r>
          </w:p>
        </w:tc>
        <w:tc>
          <w:tcPr>
            <w:tcW w:w="1367" w:type="dxa"/>
            <w:shd w:val="clear" w:color="auto" w:fill="auto"/>
            <w:vAlign w:val="center"/>
          </w:tcPr>
          <w:p>
            <w:pPr>
              <w:jc w:val="right"/>
              <w:rPr>
                <w:rFonts w:ascii="宋体" w:hAnsi="宋体"/>
                <w:sz w:val="18"/>
                <w:szCs w:val="18"/>
              </w:rPr>
            </w:pPr>
            <w:r>
              <w:rPr>
                <w:rFonts w:ascii="宋体" w:hAnsi="宋体"/>
                <w:sz w:val="18"/>
                <w:szCs w:val="18"/>
              </w:rPr>
              <w:t>4.80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28</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工会经费</w:t>
            </w:r>
          </w:p>
        </w:tc>
        <w:tc>
          <w:tcPr>
            <w:tcW w:w="1367" w:type="dxa"/>
            <w:shd w:val="clear" w:color="auto" w:fill="auto"/>
            <w:vAlign w:val="center"/>
          </w:tcPr>
          <w:p>
            <w:pPr>
              <w:jc w:val="right"/>
              <w:rPr>
                <w:rFonts w:ascii="宋体" w:hAnsi="宋体"/>
                <w:sz w:val="18"/>
                <w:szCs w:val="18"/>
              </w:rPr>
            </w:pPr>
            <w:r>
              <w:rPr>
                <w:rFonts w:ascii="宋体" w:hAnsi="宋体"/>
                <w:sz w:val="18"/>
                <w:szCs w:val="18"/>
              </w:rPr>
              <w:t>1.74</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29</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福利费</w:t>
            </w:r>
          </w:p>
        </w:tc>
        <w:tc>
          <w:tcPr>
            <w:tcW w:w="1367" w:type="dxa"/>
            <w:shd w:val="clear" w:color="auto" w:fill="auto"/>
            <w:vAlign w:val="center"/>
          </w:tcPr>
          <w:p>
            <w:pPr>
              <w:jc w:val="right"/>
              <w:rPr>
                <w:rFonts w:ascii="宋体" w:hAnsi="宋体"/>
                <w:sz w:val="18"/>
                <w:szCs w:val="18"/>
              </w:rPr>
            </w:pPr>
            <w:r>
              <w:rPr>
                <w:rFonts w:ascii="宋体" w:hAnsi="宋体"/>
                <w:sz w:val="18"/>
                <w:szCs w:val="18"/>
              </w:rPr>
              <w:t>1.71</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303</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对个人和家庭的补助</w:t>
            </w:r>
          </w:p>
        </w:tc>
        <w:tc>
          <w:tcPr>
            <w:tcW w:w="1367" w:type="dxa"/>
            <w:shd w:val="clear" w:color="auto" w:fill="auto"/>
            <w:vAlign w:val="center"/>
          </w:tcPr>
          <w:p>
            <w:pPr>
              <w:jc w:val="right"/>
              <w:rPr>
                <w:rFonts w:ascii="宋体" w:hAnsi="宋体"/>
                <w:b/>
                <w:sz w:val="18"/>
                <w:szCs w:val="18"/>
              </w:rPr>
            </w:pPr>
            <w:r>
              <w:rPr>
                <w:rFonts w:ascii="宋体" w:hAnsi="宋体"/>
                <w:b/>
                <w:sz w:val="18"/>
                <w:szCs w:val="18"/>
              </w:rPr>
              <w:t>1.03</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1.03</w:t>
            </w:r>
          </w:p>
        </w:tc>
        <w:tc>
          <w:tcPr>
            <w:tcW w:w="1427" w:type="dxa"/>
            <w:shd w:val="clear" w:color="auto" w:fill="auto"/>
            <w:vAlign w:val="center"/>
          </w:tcPr>
          <w:p>
            <w:pPr>
              <w:jc w:val="right"/>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303</w:t>
            </w:r>
          </w:p>
        </w:tc>
        <w:tc>
          <w:tcPr>
            <w:tcW w:w="567" w:type="dxa"/>
            <w:shd w:val="clear" w:color="auto" w:fill="auto"/>
            <w:vAlign w:val="center"/>
          </w:tcPr>
          <w:p>
            <w:pPr>
              <w:jc w:val="center"/>
              <w:rPr>
                <w:rFonts w:ascii="宋体" w:hAnsi="宋体"/>
                <w:sz w:val="18"/>
                <w:szCs w:val="18"/>
              </w:rPr>
            </w:pPr>
            <w:r>
              <w:rPr>
                <w:rFonts w:ascii="宋体" w:hAnsi="宋体"/>
                <w:sz w:val="18"/>
                <w:szCs w:val="18"/>
              </w:rPr>
              <w:t>02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退休费</w:t>
            </w:r>
          </w:p>
        </w:tc>
        <w:tc>
          <w:tcPr>
            <w:tcW w:w="1367" w:type="dxa"/>
            <w:shd w:val="clear" w:color="auto" w:fill="auto"/>
            <w:vAlign w:val="center"/>
          </w:tcPr>
          <w:p>
            <w:pPr>
              <w:jc w:val="right"/>
              <w:rPr>
                <w:rFonts w:ascii="宋体" w:hAnsi="宋体"/>
                <w:sz w:val="18"/>
                <w:szCs w:val="18"/>
              </w:rPr>
            </w:pPr>
            <w:r>
              <w:rPr>
                <w:rFonts w:ascii="宋体" w:hAnsi="宋体"/>
                <w:sz w:val="18"/>
                <w:szCs w:val="18"/>
              </w:rPr>
              <w:t>1.02</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1.02</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303</w:t>
            </w:r>
          </w:p>
        </w:tc>
        <w:tc>
          <w:tcPr>
            <w:tcW w:w="567" w:type="dxa"/>
            <w:shd w:val="clear" w:color="auto" w:fill="auto"/>
            <w:vAlign w:val="center"/>
          </w:tcPr>
          <w:p>
            <w:pPr>
              <w:jc w:val="center"/>
              <w:rPr>
                <w:rFonts w:ascii="宋体" w:hAnsi="宋体"/>
                <w:sz w:val="18"/>
                <w:szCs w:val="18"/>
              </w:rPr>
            </w:pPr>
            <w:r>
              <w:rPr>
                <w:rFonts w:ascii="宋体" w:hAnsi="宋体"/>
                <w:sz w:val="18"/>
                <w:szCs w:val="18"/>
              </w:rPr>
              <w:t>09</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奖励金</w:t>
            </w:r>
          </w:p>
        </w:tc>
        <w:tc>
          <w:tcPr>
            <w:tcW w:w="1367" w:type="dxa"/>
            <w:shd w:val="clear" w:color="auto" w:fill="auto"/>
            <w:vAlign w:val="center"/>
          </w:tcPr>
          <w:p>
            <w:pPr>
              <w:jc w:val="right"/>
              <w:rPr>
                <w:rFonts w:ascii="宋体" w:hAnsi="宋体"/>
                <w:sz w:val="18"/>
                <w:szCs w:val="18"/>
              </w:rPr>
            </w:pPr>
            <w:r>
              <w:rPr>
                <w:rFonts w:ascii="宋体" w:hAnsi="宋体"/>
                <w:sz w:val="18"/>
                <w:szCs w:val="18"/>
              </w:rPr>
              <w:t>0.01</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0.01</w:t>
            </w:r>
          </w:p>
        </w:tc>
        <w:tc>
          <w:tcPr>
            <w:tcW w:w="1427" w:type="dxa"/>
            <w:shd w:val="clear" w:color="auto" w:fill="auto"/>
            <w:vAlign w:val="center"/>
          </w:tcPr>
          <w:p>
            <w:pPr>
              <w:jc w:val="right"/>
              <w:rPr>
                <w:rFonts w:ascii="宋体" w:hAnsi="宋体"/>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编制部门：额敏县额敏河滨河建设服务中心</w:t>
            </w:r>
          </w:p>
        </w:tc>
        <w:tc>
          <w:tcPr>
            <w:tcW w:w="1863"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sz w:val="18"/>
                <w:szCs w:val="18"/>
              </w:rPr>
            </w:pPr>
            <w:r>
              <w:rPr>
                <w:rFonts w:hint="eastAsia"/>
                <w:sz w:val="18"/>
                <w:szCs w:val="18"/>
              </w:rPr>
              <w:t>科目编码</w:t>
            </w:r>
          </w:p>
        </w:tc>
        <w:tc>
          <w:tcPr>
            <w:tcW w:w="2073" w:type="dxa"/>
            <w:vMerge w:val="restart"/>
            <w:shd w:val="clear" w:color="auto" w:fill="auto"/>
            <w:vAlign w:val="center"/>
          </w:tcPr>
          <w:p>
            <w:pPr>
              <w:jc w:val="center"/>
              <w:rPr>
                <w:sz w:val="18"/>
                <w:szCs w:val="18"/>
              </w:rPr>
            </w:pPr>
            <w:r>
              <w:rPr>
                <w:rFonts w:hint="eastAsia"/>
                <w:sz w:val="18"/>
                <w:szCs w:val="18"/>
              </w:rPr>
              <w:t>功能分类科目名称</w:t>
            </w:r>
          </w:p>
        </w:tc>
        <w:tc>
          <w:tcPr>
            <w:tcW w:w="2073" w:type="dxa"/>
            <w:vMerge w:val="restart"/>
            <w:shd w:val="clear" w:color="auto" w:fill="auto"/>
            <w:vAlign w:val="center"/>
          </w:tcPr>
          <w:p>
            <w:pPr>
              <w:jc w:val="center"/>
              <w:rPr>
                <w:sz w:val="18"/>
                <w:szCs w:val="18"/>
              </w:rPr>
            </w:pPr>
            <w:r>
              <w:rPr>
                <w:rFonts w:hint="eastAsia"/>
                <w:sz w:val="18"/>
                <w:szCs w:val="18"/>
              </w:rPr>
              <w:t>项目名称</w:t>
            </w:r>
          </w:p>
        </w:tc>
        <w:tc>
          <w:tcPr>
            <w:tcW w:w="881" w:type="dxa"/>
            <w:vMerge w:val="restart"/>
            <w:shd w:val="clear" w:color="auto" w:fill="auto"/>
            <w:vAlign w:val="center"/>
          </w:tcPr>
          <w:p>
            <w:pPr>
              <w:jc w:val="center"/>
              <w:rPr>
                <w:sz w:val="18"/>
                <w:szCs w:val="18"/>
              </w:rPr>
            </w:pPr>
            <w:r>
              <w:rPr>
                <w:rFonts w:hint="eastAsia"/>
                <w:sz w:val="18"/>
                <w:szCs w:val="18"/>
              </w:rPr>
              <w:t>项目支出合计</w:t>
            </w:r>
          </w:p>
        </w:tc>
        <w:tc>
          <w:tcPr>
            <w:tcW w:w="881" w:type="dxa"/>
            <w:vMerge w:val="restart"/>
            <w:shd w:val="clear" w:color="auto" w:fill="auto"/>
            <w:vAlign w:val="center"/>
          </w:tcPr>
          <w:p>
            <w:pPr>
              <w:jc w:val="center"/>
              <w:rPr>
                <w:sz w:val="18"/>
                <w:szCs w:val="18"/>
              </w:rPr>
            </w:pPr>
            <w:r>
              <w:rPr>
                <w:rFonts w:hint="eastAsia"/>
                <w:sz w:val="18"/>
                <w:szCs w:val="18"/>
              </w:rPr>
              <w:t>工资福利支出</w:t>
            </w:r>
          </w:p>
        </w:tc>
        <w:tc>
          <w:tcPr>
            <w:tcW w:w="881" w:type="dxa"/>
            <w:vMerge w:val="restart"/>
            <w:shd w:val="clear" w:color="auto" w:fill="auto"/>
            <w:vAlign w:val="center"/>
          </w:tcPr>
          <w:p>
            <w:pPr>
              <w:jc w:val="center"/>
              <w:rPr>
                <w:sz w:val="18"/>
                <w:szCs w:val="18"/>
              </w:rPr>
            </w:pPr>
            <w:r>
              <w:rPr>
                <w:rFonts w:hint="eastAsia"/>
                <w:sz w:val="18"/>
                <w:szCs w:val="18"/>
              </w:rPr>
              <w:t>商品和服务支出</w:t>
            </w:r>
          </w:p>
        </w:tc>
        <w:tc>
          <w:tcPr>
            <w:tcW w:w="881" w:type="dxa"/>
            <w:vMerge w:val="restart"/>
            <w:shd w:val="clear" w:color="auto" w:fill="auto"/>
            <w:vAlign w:val="center"/>
          </w:tcPr>
          <w:p>
            <w:pPr>
              <w:jc w:val="center"/>
              <w:rPr>
                <w:sz w:val="18"/>
                <w:szCs w:val="18"/>
              </w:rPr>
            </w:pPr>
            <w:r>
              <w:rPr>
                <w:rFonts w:hint="eastAsia"/>
                <w:sz w:val="18"/>
                <w:szCs w:val="18"/>
              </w:rPr>
              <w:t>对个人和家庭的补助</w:t>
            </w:r>
          </w:p>
        </w:tc>
        <w:tc>
          <w:tcPr>
            <w:tcW w:w="881" w:type="dxa"/>
            <w:vMerge w:val="restart"/>
            <w:shd w:val="clear" w:color="auto" w:fill="auto"/>
            <w:vAlign w:val="center"/>
          </w:tcPr>
          <w:p>
            <w:pPr>
              <w:jc w:val="center"/>
              <w:rPr>
                <w:sz w:val="18"/>
                <w:szCs w:val="18"/>
              </w:rPr>
            </w:pPr>
            <w:r>
              <w:rPr>
                <w:rFonts w:hint="eastAsia"/>
                <w:sz w:val="18"/>
                <w:szCs w:val="18"/>
              </w:rPr>
              <w:t>债务利息及费用支出</w:t>
            </w:r>
          </w:p>
        </w:tc>
        <w:tc>
          <w:tcPr>
            <w:tcW w:w="881" w:type="dxa"/>
            <w:vMerge w:val="restart"/>
            <w:shd w:val="clear" w:color="auto" w:fill="auto"/>
            <w:vAlign w:val="center"/>
          </w:tcPr>
          <w:p>
            <w:pPr>
              <w:jc w:val="center"/>
              <w:rPr>
                <w:sz w:val="18"/>
                <w:szCs w:val="18"/>
              </w:rPr>
            </w:pPr>
            <w:r>
              <w:rPr>
                <w:rFonts w:hint="eastAsia"/>
                <w:sz w:val="18"/>
                <w:szCs w:val="18"/>
              </w:rPr>
              <w:t>资本性支出（基本建设）</w:t>
            </w:r>
          </w:p>
        </w:tc>
        <w:tc>
          <w:tcPr>
            <w:tcW w:w="881" w:type="dxa"/>
            <w:vMerge w:val="restart"/>
            <w:shd w:val="clear" w:color="auto" w:fill="auto"/>
            <w:vAlign w:val="center"/>
          </w:tcPr>
          <w:p>
            <w:pPr>
              <w:jc w:val="center"/>
              <w:rPr>
                <w:sz w:val="18"/>
                <w:szCs w:val="18"/>
              </w:rPr>
            </w:pPr>
            <w:r>
              <w:rPr>
                <w:rFonts w:hint="eastAsia"/>
                <w:sz w:val="18"/>
                <w:szCs w:val="18"/>
              </w:rPr>
              <w:t>资本性支出</w:t>
            </w:r>
          </w:p>
        </w:tc>
        <w:tc>
          <w:tcPr>
            <w:tcW w:w="882" w:type="dxa"/>
            <w:vMerge w:val="restart"/>
            <w:shd w:val="clear" w:color="auto" w:fill="auto"/>
            <w:vAlign w:val="center"/>
          </w:tcPr>
          <w:p>
            <w:pPr>
              <w:jc w:val="center"/>
              <w:rPr>
                <w:sz w:val="18"/>
                <w:szCs w:val="18"/>
              </w:rPr>
            </w:pPr>
            <w:r>
              <w:rPr>
                <w:rFonts w:hint="eastAsia"/>
                <w:sz w:val="18"/>
                <w:szCs w:val="18"/>
              </w:rPr>
              <w:t>对企业补助（基本建设）</w:t>
            </w:r>
          </w:p>
        </w:tc>
        <w:tc>
          <w:tcPr>
            <w:tcW w:w="783" w:type="dxa"/>
            <w:vMerge w:val="restart"/>
            <w:shd w:val="clear" w:color="auto" w:fill="auto"/>
            <w:vAlign w:val="center"/>
          </w:tcPr>
          <w:p>
            <w:pPr>
              <w:jc w:val="center"/>
              <w:rPr>
                <w:sz w:val="18"/>
                <w:szCs w:val="18"/>
              </w:rPr>
            </w:pPr>
            <w:r>
              <w:rPr>
                <w:rFonts w:hint="eastAsia"/>
                <w:sz w:val="18"/>
                <w:szCs w:val="18"/>
              </w:rPr>
              <w:t>对企业补助</w:t>
            </w:r>
          </w:p>
        </w:tc>
        <w:tc>
          <w:tcPr>
            <w:tcW w:w="981" w:type="dxa"/>
            <w:vMerge w:val="restart"/>
            <w:shd w:val="clear" w:color="auto" w:fill="auto"/>
            <w:vAlign w:val="center"/>
          </w:tcPr>
          <w:p>
            <w:pPr>
              <w:jc w:val="center"/>
              <w:rPr>
                <w:sz w:val="18"/>
                <w:szCs w:val="18"/>
              </w:rPr>
            </w:pPr>
            <w:r>
              <w:rPr>
                <w:rFonts w:hint="eastAsia"/>
                <w:sz w:val="18"/>
                <w:szCs w:val="18"/>
              </w:rPr>
              <w:t>对社会保障基金补助</w:t>
            </w:r>
          </w:p>
        </w:tc>
        <w:tc>
          <w:tcPr>
            <w:tcW w:w="882"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331" w:type="dxa"/>
            <w:shd w:val="clear" w:color="auto" w:fill="auto"/>
            <w:vAlign w:val="center"/>
          </w:tcPr>
          <w:p>
            <w:pPr>
              <w:jc w:val="center"/>
              <w:rPr>
                <w:sz w:val="18"/>
                <w:szCs w:val="18"/>
              </w:rPr>
            </w:pPr>
            <w:r>
              <w:rPr>
                <w:rFonts w:hint="eastAsia"/>
                <w:sz w:val="18"/>
                <w:szCs w:val="18"/>
              </w:rPr>
              <w:t>项</w:t>
            </w:r>
          </w:p>
        </w:tc>
        <w:tc>
          <w:tcPr>
            <w:tcW w:w="2073" w:type="dxa"/>
            <w:vMerge w:val="continue"/>
            <w:shd w:val="clear" w:color="auto" w:fill="auto"/>
            <w:vAlign w:val="center"/>
          </w:tcPr>
          <w:p>
            <w:pPr>
              <w:jc w:val="center"/>
              <w:rPr>
                <w:sz w:val="18"/>
                <w:szCs w:val="18"/>
              </w:rPr>
            </w:pPr>
          </w:p>
        </w:tc>
        <w:tc>
          <w:tcPr>
            <w:tcW w:w="2073"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2" w:type="dxa"/>
            <w:vMerge w:val="continue"/>
            <w:shd w:val="clear" w:color="auto" w:fill="auto"/>
          </w:tcPr>
          <w:p>
            <w:pPr>
              <w:jc w:val="center"/>
              <w:rPr>
                <w:sz w:val="18"/>
                <w:szCs w:val="18"/>
              </w:rPr>
            </w:pPr>
          </w:p>
        </w:tc>
        <w:tc>
          <w:tcPr>
            <w:tcW w:w="783" w:type="dxa"/>
            <w:vMerge w:val="continue"/>
            <w:shd w:val="clear" w:color="auto" w:fill="auto"/>
            <w:vAlign w:val="center"/>
          </w:tcPr>
          <w:p>
            <w:pPr>
              <w:jc w:val="center"/>
              <w:rPr>
                <w:sz w:val="18"/>
                <w:szCs w:val="18"/>
              </w:rPr>
            </w:pPr>
          </w:p>
        </w:tc>
        <w:tc>
          <w:tcPr>
            <w:tcW w:w="981" w:type="dxa"/>
            <w:vMerge w:val="continue"/>
            <w:shd w:val="clear" w:color="auto" w:fill="auto"/>
          </w:tcPr>
          <w:p>
            <w:pPr>
              <w:jc w:val="center"/>
              <w:rPr>
                <w:sz w:val="18"/>
                <w:szCs w:val="18"/>
              </w:rPr>
            </w:pPr>
          </w:p>
        </w:tc>
        <w:tc>
          <w:tcPr>
            <w:tcW w:w="882"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trPr>
        <w:tc>
          <w:tcPr>
            <w:tcW w:w="300" w:type="dxa"/>
            <w:shd w:val="clear" w:color="auto" w:fill="auto"/>
            <w:vAlign w:val="center"/>
          </w:tcPr>
          <w:p>
            <w:pPr>
              <w:jc w:val="center"/>
              <w:rPr>
                <w:sz w:val="18"/>
                <w:szCs w:val="18"/>
              </w:rPr>
            </w:pPr>
            <w:r>
              <w:rPr>
                <w:rFonts w:hint="eastAsia"/>
                <w:color w:val="000000"/>
                <w:sz w:val="18"/>
                <w:szCs w:val="18"/>
              </w:rPr>
              <w:t>※</w:t>
            </w:r>
          </w:p>
        </w:tc>
        <w:tc>
          <w:tcPr>
            <w:tcW w:w="260" w:type="dxa"/>
            <w:shd w:val="clear" w:color="auto" w:fill="auto"/>
            <w:vAlign w:val="center"/>
          </w:tcPr>
          <w:p>
            <w:pPr>
              <w:jc w:val="center"/>
              <w:rPr>
                <w:sz w:val="18"/>
                <w:szCs w:val="18"/>
              </w:rPr>
            </w:pPr>
            <w:r>
              <w:rPr>
                <w:rFonts w:hint="eastAsia"/>
                <w:color w:val="000000"/>
                <w:sz w:val="18"/>
                <w:szCs w:val="18"/>
              </w:rPr>
              <w:t>※</w:t>
            </w:r>
          </w:p>
        </w:tc>
        <w:tc>
          <w:tcPr>
            <w:tcW w:w="331"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881" w:type="dxa"/>
            <w:shd w:val="clear" w:color="auto" w:fill="auto"/>
            <w:vAlign w:val="center"/>
          </w:tcPr>
          <w:p>
            <w:pPr>
              <w:jc w:val="center"/>
              <w:rPr>
                <w:sz w:val="18"/>
                <w:szCs w:val="18"/>
              </w:rPr>
            </w:pPr>
            <w:r>
              <w:rPr>
                <w:rFonts w:hint="eastAsia"/>
                <w:sz w:val="18"/>
                <w:szCs w:val="18"/>
              </w:rPr>
              <w:t>1</w:t>
            </w:r>
          </w:p>
        </w:tc>
        <w:tc>
          <w:tcPr>
            <w:tcW w:w="881" w:type="dxa"/>
            <w:shd w:val="clear" w:color="auto" w:fill="auto"/>
            <w:vAlign w:val="center"/>
          </w:tcPr>
          <w:p>
            <w:pPr>
              <w:jc w:val="center"/>
              <w:rPr>
                <w:sz w:val="18"/>
                <w:szCs w:val="18"/>
              </w:rPr>
            </w:pPr>
            <w:r>
              <w:rPr>
                <w:rFonts w:hint="eastAsia"/>
                <w:sz w:val="18"/>
                <w:szCs w:val="18"/>
              </w:rPr>
              <w:t>2</w:t>
            </w:r>
          </w:p>
        </w:tc>
        <w:tc>
          <w:tcPr>
            <w:tcW w:w="881" w:type="dxa"/>
            <w:shd w:val="clear" w:color="auto" w:fill="auto"/>
            <w:vAlign w:val="center"/>
          </w:tcPr>
          <w:p>
            <w:pPr>
              <w:jc w:val="center"/>
              <w:rPr>
                <w:sz w:val="18"/>
                <w:szCs w:val="18"/>
              </w:rPr>
            </w:pPr>
            <w:r>
              <w:rPr>
                <w:rFonts w:hint="eastAsia"/>
                <w:sz w:val="18"/>
                <w:szCs w:val="18"/>
              </w:rPr>
              <w:t>3</w:t>
            </w:r>
          </w:p>
        </w:tc>
        <w:tc>
          <w:tcPr>
            <w:tcW w:w="881" w:type="dxa"/>
            <w:shd w:val="clear" w:color="auto" w:fill="auto"/>
            <w:vAlign w:val="center"/>
          </w:tcPr>
          <w:p>
            <w:pPr>
              <w:jc w:val="center"/>
              <w:rPr>
                <w:sz w:val="18"/>
                <w:szCs w:val="18"/>
              </w:rPr>
            </w:pPr>
            <w:r>
              <w:rPr>
                <w:rFonts w:hint="eastAsia"/>
                <w:sz w:val="18"/>
                <w:szCs w:val="18"/>
              </w:rPr>
              <w:t>4</w:t>
            </w:r>
          </w:p>
        </w:tc>
        <w:tc>
          <w:tcPr>
            <w:tcW w:w="881" w:type="dxa"/>
            <w:shd w:val="clear" w:color="auto" w:fill="auto"/>
            <w:vAlign w:val="center"/>
          </w:tcPr>
          <w:p>
            <w:pPr>
              <w:jc w:val="center"/>
              <w:rPr>
                <w:sz w:val="18"/>
                <w:szCs w:val="18"/>
              </w:rPr>
            </w:pPr>
            <w:r>
              <w:rPr>
                <w:rFonts w:hint="eastAsia"/>
                <w:sz w:val="18"/>
                <w:szCs w:val="18"/>
              </w:rPr>
              <w:t>5</w:t>
            </w:r>
          </w:p>
        </w:tc>
        <w:tc>
          <w:tcPr>
            <w:tcW w:w="881" w:type="dxa"/>
            <w:shd w:val="clear" w:color="auto" w:fill="auto"/>
            <w:vAlign w:val="center"/>
          </w:tcPr>
          <w:p>
            <w:pPr>
              <w:jc w:val="center"/>
              <w:rPr>
                <w:sz w:val="18"/>
                <w:szCs w:val="18"/>
              </w:rPr>
            </w:pPr>
            <w:r>
              <w:rPr>
                <w:rFonts w:hint="eastAsia"/>
                <w:sz w:val="18"/>
                <w:szCs w:val="18"/>
              </w:rPr>
              <w:t>6</w:t>
            </w:r>
          </w:p>
        </w:tc>
        <w:tc>
          <w:tcPr>
            <w:tcW w:w="881" w:type="dxa"/>
            <w:shd w:val="clear" w:color="auto" w:fill="auto"/>
            <w:vAlign w:val="center"/>
          </w:tcPr>
          <w:p>
            <w:pPr>
              <w:jc w:val="center"/>
              <w:rPr>
                <w:sz w:val="18"/>
                <w:szCs w:val="18"/>
              </w:rPr>
            </w:pPr>
            <w:r>
              <w:rPr>
                <w:rFonts w:hint="eastAsia"/>
                <w:sz w:val="18"/>
                <w:szCs w:val="18"/>
              </w:rPr>
              <w:t>7</w:t>
            </w:r>
          </w:p>
        </w:tc>
        <w:tc>
          <w:tcPr>
            <w:tcW w:w="882" w:type="dxa"/>
            <w:shd w:val="clear" w:color="auto" w:fill="auto"/>
            <w:vAlign w:val="center"/>
          </w:tcPr>
          <w:p>
            <w:pPr>
              <w:jc w:val="center"/>
              <w:rPr>
                <w:sz w:val="18"/>
                <w:szCs w:val="18"/>
              </w:rPr>
            </w:pPr>
            <w:r>
              <w:rPr>
                <w:rFonts w:hint="eastAsia"/>
                <w:sz w:val="18"/>
                <w:szCs w:val="18"/>
              </w:rPr>
              <w:t>8</w:t>
            </w:r>
          </w:p>
        </w:tc>
        <w:tc>
          <w:tcPr>
            <w:tcW w:w="783" w:type="dxa"/>
            <w:shd w:val="clear" w:color="auto" w:fill="auto"/>
            <w:vAlign w:val="center"/>
          </w:tcPr>
          <w:p>
            <w:pPr>
              <w:jc w:val="center"/>
              <w:rPr>
                <w:sz w:val="18"/>
                <w:szCs w:val="18"/>
              </w:rPr>
            </w:pPr>
            <w:r>
              <w:rPr>
                <w:rFonts w:hint="eastAsia"/>
                <w:sz w:val="18"/>
                <w:szCs w:val="18"/>
              </w:rPr>
              <w:t>9</w:t>
            </w:r>
          </w:p>
        </w:tc>
        <w:tc>
          <w:tcPr>
            <w:tcW w:w="981" w:type="dxa"/>
            <w:shd w:val="clear" w:color="auto" w:fill="auto"/>
            <w:vAlign w:val="center"/>
          </w:tcPr>
          <w:p>
            <w:pPr>
              <w:jc w:val="center"/>
              <w:rPr>
                <w:sz w:val="18"/>
                <w:szCs w:val="18"/>
              </w:rPr>
            </w:pPr>
            <w:r>
              <w:rPr>
                <w:rFonts w:hint="eastAsia"/>
                <w:sz w:val="18"/>
                <w:szCs w:val="18"/>
              </w:rPr>
              <w:t>10</w:t>
            </w:r>
          </w:p>
        </w:tc>
        <w:tc>
          <w:tcPr>
            <w:tcW w:w="882" w:type="dxa"/>
            <w:shd w:val="clear" w:color="auto" w:fill="auto"/>
            <w:vAlign w:val="center"/>
          </w:tcPr>
          <w:p>
            <w:pPr>
              <w:jc w:val="center"/>
              <w:rPr>
                <w:sz w:val="18"/>
                <w:szCs w:val="18"/>
              </w:rPr>
            </w:pPr>
            <w:r>
              <w:rPr>
                <w:rFonts w:hint="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p>
        </w:tc>
        <w:tc>
          <w:tcPr>
            <w:tcW w:w="260" w:type="dxa"/>
            <w:shd w:val="clear" w:color="auto" w:fill="auto"/>
            <w:vAlign w:val="center"/>
          </w:tcPr>
          <w:p>
            <w:pPr>
              <w:jc w:val="center"/>
              <w:rPr>
                <w:sz w:val="18"/>
                <w:szCs w:val="18"/>
              </w:rPr>
            </w:pPr>
          </w:p>
        </w:tc>
        <w:tc>
          <w:tcPr>
            <w:tcW w:w="331" w:type="dxa"/>
            <w:shd w:val="clear" w:color="auto" w:fill="auto"/>
            <w:vAlign w:val="center"/>
          </w:tcPr>
          <w:p>
            <w:pPr>
              <w:jc w:val="center"/>
              <w:rPr>
                <w:sz w:val="18"/>
                <w:szCs w:val="18"/>
              </w:rPr>
            </w:pPr>
          </w:p>
        </w:tc>
        <w:tc>
          <w:tcPr>
            <w:tcW w:w="2073" w:type="dxa"/>
            <w:shd w:val="clear" w:color="auto" w:fill="auto"/>
            <w:vAlign w:val="center"/>
          </w:tcPr>
          <w:p>
            <w:pPr>
              <w:jc w:val="left"/>
              <w:rPr>
                <w:sz w:val="18"/>
                <w:szCs w:val="18"/>
              </w:rPr>
            </w:pPr>
          </w:p>
        </w:tc>
        <w:tc>
          <w:tcPr>
            <w:tcW w:w="2073" w:type="dxa"/>
            <w:shd w:val="clear" w:color="auto" w:fill="auto"/>
            <w:vAlign w:val="center"/>
          </w:tcPr>
          <w:p>
            <w:pPr>
              <w:jc w:val="left"/>
              <w:rPr>
                <w:sz w:val="18"/>
                <w:szCs w:val="18"/>
              </w:rPr>
            </w:pPr>
          </w:p>
        </w:tc>
        <w:tc>
          <w:tcPr>
            <w:tcW w:w="881" w:type="dxa"/>
            <w:shd w:val="clear" w:color="auto" w:fill="auto"/>
            <w:vAlign w:val="center"/>
          </w:tcPr>
          <w:p>
            <w:pPr>
              <w:ind w:right="-29" w:rightChars="-14"/>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p>
        </w:tc>
        <w:tc>
          <w:tcPr>
            <w:tcW w:w="260" w:type="dxa"/>
            <w:shd w:val="clear" w:color="auto" w:fill="auto"/>
            <w:vAlign w:val="center"/>
          </w:tcPr>
          <w:p>
            <w:pPr>
              <w:jc w:val="center"/>
              <w:rPr>
                <w:sz w:val="18"/>
                <w:szCs w:val="18"/>
              </w:rPr>
            </w:pPr>
          </w:p>
        </w:tc>
        <w:tc>
          <w:tcPr>
            <w:tcW w:w="331" w:type="dxa"/>
            <w:shd w:val="clear" w:color="auto" w:fill="auto"/>
            <w:vAlign w:val="center"/>
          </w:tcPr>
          <w:p>
            <w:pPr>
              <w:jc w:val="center"/>
              <w:rPr>
                <w:sz w:val="18"/>
                <w:szCs w:val="18"/>
              </w:rPr>
            </w:pPr>
          </w:p>
        </w:tc>
        <w:tc>
          <w:tcPr>
            <w:tcW w:w="2073" w:type="dxa"/>
            <w:shd w:val="clear" w:color="auto" w:fill="auto"/>
            <w:vAlign w:val="center"/>
          </w:tcPr>
          <w:p>
            <w:pPr>
              <w:jc w:val="left"/>
              <w:rPr>
                <w:sz w:val="18"/>
                <w:szCs w:val="18"/>
              </w:rPr>
            </w:pPr>
          </w:p>
        </w:tc>
        <w:tc>
          <w:tcPr>
            <w:tcW w:w="2073" w:type="dxa"/>
            <w:shd w:val="clear" w:color="auto" w:fill="auto"/>
            <w:vAlign w:val="center"/>
          </w:tcPr>
          <w:p>
            <w:pPr>
              <w:jc w:val="left"/>
              <w:rPr>
                <w:sz w:val="18"/>
                <w:szCs w:val="18"/>
              </w:rPr>
            </w:pPr>
          </w:p>
        </w:tc>
        <w:tc>
          <w:tcPr>
            <w:tcW w:w="881" w:type="dxa"/>
            <w:shd w:val="clear" w:color="auto" w:fill="auto"/>
            <w:vAlign w:val="center"/>
          </w:tcPr>
          <w:p>
            <w:pPr>
              <w:ind w:right="-29" w:rightChars="-14"/>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p>
        </w:tc>
        <w:tc>
          <w:tcPr>
            <w:tcW w:w="260" w:type="dxa"/>
            <w:shd w:val="clear" w:color="auto" w:fill="auto"/>
            <w:vAlign w:val="center"/>
          </w:tcPr>
          <w:p>
            <w:pPr>
              <w:jc w:val="center"/>
              <w:rPr>
                <w:sz w:val="18"/>
                <w:szCs w:val="18"/>
              </w:rPr>
            </w:pPr>
          </w:p>
        </w:tc>
        <w:tc>
          <w:tcPr>
            <w:tcW w:w="331" w:type="dxa"/>
            <w:shd w:val="clear" w:color="auto" w:fill="auto"/>
            <w:vAlign w:val="center"/>
          </w:tcPr>
          <w:p>
            <w:pPr>
              <w:jc w:val="center"/>
              <w:rPr>
                <w:sz w:val="18"/>
                <w:szCs w:val="18"/>
              </w:rPr>
            </w:pPr>
          </w:p>
        </w:tc>
        <w:tc>
          <w:tcPr>
            <w:tcW w:w="2073" w:type="dxa"/>
            <w:shd w:val="clear" w:color="auto" w:fill="auto"/>
            <w:vAlign w:val="center"/>
          </w:tcPr>
          <w:p>
            <w:pPr>
              <w:jc w:val="left"/>
              <w:rPr>
                <w:sz w:val="18"/>
                <w:szCs w:val="18"/>
              </w:rPr>
            </w:pPr>
          </w:p>
        </w:tc>
        <w:tc>
          <w:tcPr>
            <w:tcW w:w="2073" w:type="dxa"/>
            <w:shd w:val="clear" w:color="auto" w:fill="auto"/>
            <w:vAlign w:val="center"/>
          </w:tcPr>
          <w:p>
            <w:pPr>
              <w:jc w:val="left"/>
              <w:rPr>
                <w:sz w:val="18"/>
                <w:szCs w:val="18"/>
              </w:rPr>
            </w:pPr>
          </w:p>
        </w:tc>
        <w:tc>
          <w:tcPr>
            <w:tcW w:w="881" w:type="dxa"/>
            <w:shd w:val="clear" w:color="auto" w:fill="auto"/>
            <w:vAlign w:val="center"/>
          </w:tcPr>
          <w:p>
            <w:pPr>
              <w:ind w:right="-29" w:rightChars="-14"/>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p>
        </w:tc>
        <w:tc>
          <w:tcPr>
            <w:tcW w:w="260" w:type="dxa"/>
            <w:shd w:val="clear" w:color="auto" w:fill="auto"/>
            <w:vAlign w:val="center"/>
          </w:tcPr>
          <w:p>
            <w:pPr>
              <w:jc w:val="center"/>
              <w:rPr>
                <w:sz w:val="18"/>
                <w:szCs w:val="18"/>
              </w:rPr>
            </w:pPr>
          </w:p>
        </w:tc>
        <w:tc>
          <w:tcPr>
            <w:tcW w:w="331" w:type="dxa"/>
            <w:shd w:val="clear" w:color="auto" w:fill="auto"/>
            <w:vAlign w:val="center"/>
          </w:tcPr>
          <w:p>
            <w:pPr>
              <w:jc w:val="center"/>
              <w:rPr>
                <w:sz w:val="18"/>
                <w:szCs w:val="18"/>
              </w:rPr>
            </w:pPr>
          </w:p>
        </w:tc>
        <w:tc>
          <w:tcPr>
            <w:tcW w:w="2073" w:type="dxa"/>
            <w:shd w:val="clear" w:color="auto" w:fill="auto"/>
            <w:vAlign w:val="center"/>
          </w:tcPr>
          <w:p>
            <w:pPr>
              <w:jc w:val="left"/>
              <w:rPr>
                <w:sz w:val="18"/>
                <w:szCs w:val="18"/>
              </w:rPr>
            </w:pPr>
          </w:p>
        </w:tc>
        <w:tc>
          <w:tcPr>
            <w:tcW w:w="2073" w:type="dxa"/>
            <w:shd w:val="clear" w:color="auto" w:fill="auto"/>
            <w:vAlign w:val="center"/>
          </w:tcPr>
          <w:p>
            <w:pPr>
              <w:jc w:val="left"/>
              <w:rPr>
                <w:sz w:val="18"/>
                <w:szCs w:val="18"/>
              </w:rPr>
            </w:pPr>
          </w:p>
        </w:tc>
        <w:tc>
          <w:tcPr>
            <w:tcW w:w="881" w:type="dxa"/>
            <w:shd w:val="clear" w:color="auto" w:fill="auto"/>
            <w:vAlign w:val="center"/>
          </w:tcPr>
          <w:p>
            <w:pPr>
              <w:ind w:right="-29" w:rightChars="-14"/>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p>
        </w:tc>
        <w:tc>
          <w:tcPr>
            <w:tcW w:w="260" w:type="dxa"/>
            <w:shd w:val="clear" w:color="auto" w:fill="auto"/>
            <w:vAlign w:val="center"/>
          </w:tcPr>
          <w:p>
            <w:pPr>
              <w:jc w:val="center"/>
              <w:rPr>
                <w:sz w:val="18"/>
                <w:szCs w:val="18"/>
              </w:rPr>
            </w:pPr>
          </w:p>
        </w:tc>
        <w:tc>
          <w:tcPr>
            <w:tcW w:w="331" w:type="dxa"/>
            <w:shd w:val="clear" w:color="auto" w:fill="auto"/>
            <w:vAlign w:val="center"/>
          </w:tcPr>
          <w:p>
            <w:pPr>
              <w:jc w:val="center"/>
              <w:rPr>
                <w:sz w:val="18"/>
                <w:szCs w:val="18"/>
              </w:rPr>
            </w:pPr>
          </w:p>
        </w:tc>
        <w:tc>
          <w:tcPr>
            <w:tcW w:w="2073" w:type="dxa"/>
            <w:shd w:val="clear" w:color="auto" w:fill="auto"/>
            <w:vAlign w:val="center"/>
          </w:tcPr>
          <w:p>
            <w:pPr>
              <w:jc w:val="left"/>
              <w:rPr>
                <w:sz w:val="18"/>
                <w:szCs w:val="18"/>
              </w:rPr>
            </w:pPr>
          </w:p>
        </w:tc>
        <w:tc>
          <w:tcPr>
            <w:tcW w:w="2073" w:type="dxa"/>
            <w:shd w:val="clear" w:color="auto" w:fill="auto"/>
            <w:vAlign w:val="center"/>
          </w:tcPr>
          <w:p>
            <w:pPr>
              <w:jc w:val="left"/>
              <w:rPr>
                <w:sz w:val="18"/>
                <w:szCs w:val="18"/>
              </w:rPr>
            </w:pPr>
          </w:p>
        </w:tc>
        <w:tc>
          <w:tcPr>
            <w:tcW w:w="881" w:type="dxa"/>
            <w:shd w:val="clear" w:color="auto" w:fill="auto"/>
            <w:vAlign w:val="center"/>
          </w:tcPr>
          <w:p>
            <w:pPr>
              <w:ind w:right="-29" w:rightChars="-14"/>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bl>
    <w:p>
      <w:pPr>
        <w:widowControl/>
        <w:jc w:val="left"/>
        <w:rPr>
          <w:rFonts w:ascii="仿宋" w:eastAsia="仿宋"/>
          <w:b/>
          <w:color w:val="000000"/>
          <w:szCs w:val="21"/>
        </w:rPr>
      </w:pPr>
      <w:r>
        <w:rPr>
          <w:rFonts w:hint="eastAsia" w:ascii="仿宋" w:eastAsia="仿宋"/>
          <w:b/>
          <w:color w:val="000000"/>
          <w:szCs w:val="21"/>
        </w:rPr>
        <w:t>额敏县额敏河滨河建设服务中心</w:t>
      </w:r>
      <w:r>
        <w:rPr>
          <w:rFonts w:hint="eastAsia" w:ascii="仿宋" w:eastAsia="仿宋"/>
          <w:b/>
          <w:color w:val="000000"/>
          <w:szCs w:val="21"/>
          <w:lang w:eastAsia="zh-CN"/>
        </w:rPr>
        <w:t>2026</w:t>
      </w:r>
      <w:r>
        <w:rPr>
          <w:rFonts w:hint="eastAsia" w:ascii="仿宋" w:eastAsia="仿宋"/>
          <w:b/>
          <w:color w:val="000000"/>
          <w:szCs w:val="21"/>
        </w:rPr>
        <w:t>年没有使用一般公共预算安排项目支出，一般公共预算项目支出情况表为空表。</w:t>
      </w:r>
    </w:p>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编制部门：额敏县额敏河滨河建设服务中心</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ascii="仿宋" w:eastAsia="仿宋"/>
          <w:b/>
          <w:color w:val="000000"/>
          <w:szCs w:val="21"/>
        </w:rPr>
      </w:pPr>
      <w:r>
        <w:rPr>
          <w:rFonts w:hint="eastAsia" w:ascii="仿宋" w:eastAsia="仿宋"/>
          <w:b/>
          <w:color w:val="000000"/>
          <w:szCs w:val="21"/>
        </w:rPr>
        <w:t>额敏县额敏河滨河建设服务中心</w:t>
      </w:r>
      <w:r>
        <w:rPr>
          <w:rFonts w:hint="eastAsia" w:ascii="仿宋" w:eastAsia="仿宋"/>
          <w:b/>
          <w:color w:val="000000"/>
          <w:szCs w:val="21"/>
          <w:lang w:eastAsia="zh-CN"/>
        </w:rPr>
        <w:t>2026</w:t>
      </w:r>
      <w:r>
        <w:rPr>
          <w:rFonts w:hint="eastAsia" w:ascii="仿宋" w:eastAsia="仿宋"/>
          <w:b/>
          <w:color w:val="000000"/>
          <w:szCs w:val="21"/>
        </w:rPr>
        <w:t>年没有使用政府性基金预算拨款安排的支出，政府性基金预算支出情况表为空表。</w:t>
      </w:r>
    </w:p>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编制部门：额敏县额敏河滨河建设服务中心</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ascii="仿宋" w:eastAsia="仿宋"/>
          <w:b/>
          <w:color w:val="000000"/>
          <w:szCs w:val="21"/>
        </w:rPr>
      </w:pPr>
      <w:r>
        <w:rPr>
          <w:rFonts w:hint="eastAsia" w:ascii="仿宋" w:eastAsia="仿宋"/>
          <w:b/>
          <w:color w:val="000000"/>
          <w:szCs w:val="21"/>
        </w:rPr>
        <w:t>额敏县额敏河滨河建设服务中心</w:t>
      </w:r>
      <w:r>
        <w:rPr>
          <w:rFonts w:hint="eastAsia" w:ascii="仿宋" w:eastAsia="仿宋"/>
          <w:b/>
          <w:color w:val="000000"/>
          <w:szCs w:val="21"/>
          <w:lang w:eastAsia="zh-CN"/>
        </w:rPr>
        <w:t>2026</w:t>
      </w:r>
      <w:r>
        <w:rPr>
          <w:rFonts w:hint="eastAsia" w:ascii="仿宋" w:eastAsia="仿宋"/>
          <w:b/>
          <w:color w:val="000000"/>
          <w:szCs w:val="21"/>
        </w:rPr>
        <w:t>年没有使用国有资本经营预算拨款安排的支出，国有资本经营预算支出情况表为空表。</w:t>
      </w:r>
    </w:p>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113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920"/>
        <w:gridCol w:w="1600"/>
        <w:gridCol w:w="1600"/>
        <w:gridCol w:w="1600"/>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ascii="宋体" w:hAnsi="宋体"/>
                <w:sz w:val="18"/>
                <w:szCs w:val="18"/>
              </w:rPr>
            </w:pPr>
            <w:r>
              <w:rPr>
                <w:rFonts w:hint="eastAsia"/>
                <w:color w:val="000000"/>
                <w:sz w:val="18"/>
                <w:szCs w:val="18"/>
              </w:rPr>
              <w:t>编制部门：额敏县额敏河滨河建设服务中心</w:t>
            </w:r>
          </w:p>
        </w:tc>
        <w:tc>
          <w:tcPr>
            <w:tcW w:w="1600" w:type="dxa"/>
            <w:tcBorders>
              <w:top w:val="nil"/>
              <w:left w:val="nil"/>
              <w:right w:val="nil"/>
            </w:tcBorders>
            <w:shd w:val="clear" w:color="auto" w:fill="auto"/>
            <w:vAlign w:val="center"/>
          </w:tcPr>
          <w:p>
            <w:pPr>
              <w:jc w:val="right"/>
              <w:rPr>
                <w:rFonts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pPr>
              <w:jc w:val="center"/>
              <w:rPr>
                <w:rFonts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pPr>
              <w:jc w:val="center"/>
              <w:rPr>
                <w:rFonts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pPr>
              <w:jc w:val="center"/>
              <w:rPr>
                <w:rFonts w:ascii="宋体" w:hAnsi="宋体"/>
                <w:color w:val="000000"/>
                <w:sz w:val="18"/>
                <w:szCs w:val="18"/>
              </w:rPr>
            </w:pPr>
          </w:p>
        </w:tc>
        <w:tc>
          <w:tcPr>
            <w:tcW w:w="1600" w:type="dxa"/>
            <w:vMerge w:val="continue"/>
            <w:shd w:val="clear" w:color="auto" w:fill="auto"/>
            <w:vAlign w:val="center"/>
          </w:tcPr>
          <w:p>
            <w:pPr>
              <w:jc w:val="center"/>
              <w:rPr>
                <w:rFonts w:ascii="宋体" w:hAnsi="宋体"/>
                <w:color w:val="000000"/>
                <w:sz w:val="18"/>
                <w:szCs w:val="18"/>
              </w:rPr>
            </w:pPr>
          </w:p>
        </w:tc>
        <w:tc>
          <w:tcPr>
            <w:tcW w:w="1600" w:type="dxa"/>
            <w:shd w:val="clear" w:color="auto" w:fill="auto"/>
            <w:vAlign w:val="center"/>
          </w:tcPr>
          <w:p>
            <w:pPr>
              <w:jc w:val="center"/>
              <w:rPr>
                <w:rFonts w:ascii="宋体" w:hAnsi="宋体"/>
                <w:sz w:val="18"/>
                <w:szCs w:val="18"/>
              </w:rPr>
            </w:pPr>
            <w:r>
              <w:rPr>
                <w:rFonts w:hint="eastAsia" w:ascii="宋体" w:hAnsi="宋体"/>
                <w:sz w:val="18"/>
                <w:szCs w:val="18"/>
              </w:rPr>
              <w:t>一般公共预算</w:t>
            </w:r>
          </w:p>
        </w:tc>
        <w:tc>
          <w:tcPr>
            <w:tcW w:w="1600" w:type="dxa"/>
            <w:shd w:val="clear" w:color="auto" w:fill="auto"/>
            <w:vAlign w:val="center"/>
          </w:tcPr>
          <w:p>
            <w:pPr>
              <w:jc w:val="center"/>
              <w:rPr>
                <w:rFonts w:ascii="宋体" w:hAnsi="宋体"/>
                <w:sz w:val="18"/>
                <w:szCs w:val="18"/>
              </w:rPr>
            </w:pPr>
            <w:r>
              <w:rPr>
                <w:rFonts w:hint="eastAsia" w:ascii="宋体" w:hAnsi="宋体"/>
                <w:sz w:val="18"/>
                <w:szCs w:val="18"/>
              </w:rPr>
              <w:t>政府性基金</w:t>
            </w:r>
          </w:p>
        </w:tc>
        <w:tc>
          <w:tcPr>
            <w:tcW w:w="1600" w:type="dxa"/>
            <w:shd w:val="clear" w:color="auto" w:fill="auto"/>
            <w:vAlign w:val="center"/>
          </w:tcPr>
          <w:p>
            <w:pPr>
              <w:jc w:val="center"/>
              <w:rPr>
                <w:rFonts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jc w:val="center"/>
        </w:trPr>
        <w:tc>
          <w:tcPr>
            <w:tcW w:w="4920" w:type="dxa"/>
            <w:shd w:val="clear" w:color="auto" w:fill="auto"/>
            <w:vAlign w:val="center"/>
          </w:tcPr>
          <w:p>
            <w:pPr>
              <w:jc w:val="center"/>
              <w:rPr>
                <w:rFonts w:ascii="宋体" w:hAnsi="宋体"/>
                <w:color w:val="000000"/>
                <w:sz w:val="18"/>
                <w:szCs w:val="18"/>
              </w:rPr>
            </w:pPr>
            <w:r>
              <w:rPr>
                <w:rFonts w:hint="eastAsia"/>
                <w:color w:val="000000"/>
                <w:sz w:val="18"/>
                <w:szCs w:val="18"/>
              </w:rPr>
              <w:t>※</w:t>
            </w:r>
          </w:p>
        </w:tc>
        <w:tc>
          <w:tcPr>
            <w:tcW w:w="160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1</w:t>
            </w:r>
          </w:p>
        </w:tc>
        <w:tc>
          <w:tcPr>
            <w:tcW w:w="160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2</w:t>
            </w:r>
          </w:p>
        </w:tc>
        <w:tc>
          <w:tcPr>
            <w:tcW w:w="160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3</w:t>
            </w:r>
          </w:p>
        </w:tc>
        <w:tc>
          <w:tcPr>
            <w:tcW w:w="160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ascii="宋体" w:hAnsi="宋体"/>
                <w:color w:val="000000"/>
                <w:sz w:val="18"/>
                <w:szCs w:val="18"/>
              </w:rPr>
            </w:pPr>
            <w:r>
              <w:rPr>
                <w:rFonts w:ascii="宋体" w:hAnsi="宋体"/>
                <w:b/>
                <w:kern w:val="0"/>
                <w:sz w:val="18"/>
                <w:szCs w:val="18"/>
              </w:rPr>
              <w:t>合计</w:t>
            </w: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ascii="宋体" w:hAnsi="宋体"/>
                <w:color w:val="000000"/>
                <w:sz w:val="18"/>
                <w:szCs w:val="18"/>
              </w:rPr>
            </w:pPr>
            <w:r>
              <w:rPr>
                <w:rFonts w:ascii="宋体" w:hAnsi="宋体"/>
                <w:kern w:val="0"/>
                <w:sz w:val="18"/>
                <w:szCs w:val="18"/>
              </w:rPr>
              <w:t>因公出国（境）费</w:t>
            </w: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ascii="宋体" w:hAnsi="宋体"/>
                <w:color w:val="000000"/>
                <w:sz w:val="18"/>
                <w:szCs w:val="18"/>
              </w:rPr>
            </w:pPr>
            <w:r>
              <w:rPr>
                <w:rFonts w:ascii="宋体" w:hAnsi="宋体"/>
                <w:kern w:val="0"/>
                <w:sz w:val="18"/>
                <w:szCs w:val="18"/>
              </w:rPr>
              <w:t>公务接待费</w:t>
            </w: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ascii="宋体" w:hAnsi="宋体"/>
                <w:color w:val="000000"/>
                <w:sz w:val="18"/>
                <w:szCs w:val="18"/>
              </w:rPr>
            </w:pPr>
            <w:r>
              <w:rPr>
                <w:rFonts w:ascii="宋体" w:hAnsi="宋体"/>
                <w:b/>
                <w:kern w:val="0"/>
                <w:sz w:val="18"/>
                <w:szCs w:val="18"/>
              </w:rPr>
              <w:t>公务用车购置及运行费（小计）</w:t>
            </w: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ascii="宋体" w:hAnsi="宋体"/>
                <w:color w:val="000000"/>
                <w:sz w:val="18"/>
                <w:szCs w:val="18"/>
              </w:rPr>
            </w:pPr>
            <w:r>
              <w:rPr>
                <w:rFonts w:ascii="宋体" w:hAnsi="宋体"/>
                <w:kern w:val="0"/>
                <w:sz w:val="18"/>
                <w:szCs w:val="18"/>
              </w:rPr>
              <w:t>其中：公务用车购置费</w:t>
            </w: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ascii="宋体" w:hAnsi="宋体"/>
                <w:color w:val="000000"/>
                <w:sz w:val="18"/>
                <w:szCs w:val="18"/>
              </w:rPr>
            </w:pPr>
            <w:r>
              <w:rPr>
                <w:rFonts w:ascii="宋体" w:hAnsi="宋体"/>
                <w:kern w:val="0"/>
                <w:sz w:val="18"/>
                <w:szCs w:val="18"/>
              </w:rPr>
              <w:t xml:space="preserve">      公务用车运行费</w:t>
            </w: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r>
    </w:tbl>
    <w:p>
      <w:pPr>
        <w:widowControl/>
        <w:jc w:val="left"/>
        <w:rPr>
          <w:rFonts w:ascii="仿宋" w:eastAsia="仿宋"/>
          <w:b/>
          <w:color w:val="000000"/>
          <w:szCs w:val="21"/>
        </w:rPr>
      </w:pPr>
      <w:r>
        <w:rPr>
          <w:rFonts w:hint="eastAsia" w:ascii="仿宋" w:eastAsia="仿宋"/>
          <w:b/>
          <w:color w:val="000000"/>
          <w:szCs w:val="21"/>
        </w:rPr>
        <w:t>额敏县额敏河滨河建设服务中心</w:t>
      </w:r>
      <w:r>
        <w:rPr>
          <w:rFonts w:hint="eastAsia" w:ascii="仿宋" w:eastAsia="仿宋"/>
          <w:b/>
          <w:color w:val="000000"/>
          <w:szCs w:val="21"/>
          <w:lang w:eastAsia="zh-CN"/>
        </w:rPr>
        <w:t>2026</w:t>
      </w:r>
      <w:r>
        <w:rPr>
          <w:rFonts w:hint="eastAsia" w:ascii="仿宋" w:eastAsia="仿宋"/>
          <w:b/>
          <w:color w:val="000000"/>
          <w:szCs w:val="21"/>
        </w:rPr>
        <w:t>年没有使用财政拨款安排“三公”经费支出，财政拨款“三公”经费支出情况表为空表。</w:t>
      </w:r>
    </w:p>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编制部门：额敏县额敏河滨河建设服务中心</w:t>
            </w:r>
          </w:p>
        </w:tc>
        <w:tc>
          <w:tcPr>
            <w:tcW w:w="4254" w:type="dxa"/>
            <w:gridSpan w:val="5"/>
            <w:tcBorders>
              <w:top w:val="nil"/>
              <w:left w:val="nil"/>
              <w:right w:val="nil"/>
            </w:tcBorders>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vAlign w:val="center"/>
          </w:tcPr>
          <w:p>
            <w:pPr>
              <w:jc w:val="center"/>
              <w:rPr>
                <w:rFonts w:hint="eastAsia"/>
                <w:sz w:val="18"/>
                <w:szCs w:val="18"/>
              </w:rPr>
            </w:pPr>
            <w:r>
              <w:rPr>
                <w:rFonts w:hint="eastAsia"/>
                <w:sz w:val="18"/>
                <w:szCs w:val="18"/>
              </w:rPr>
              <w:t>财政拨款</w:t>
            </w:r>
          </w:p>
        </w:tc>
        <w:tc>
          <w:tcPr>
            <w:tcW w:w="4988" w:type="dxa"/>
            <w:gridSpan w:val="5"/>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vAlign w:val="center"/>
          </w:tcPr>
          <w:p>
            <w:pPr>
              <w:jc w:val="center"/>
              <w:rPr>
                <w:sz w:val="18"/>
                <w:szCs w:val="18"/>
              </w:rPr>
            </w:pPr>
            <w:r>
              <w:rPr>
                <w:rFonts w:hint="eastAsia"/>
                <w:sz w:val="18"/>
                <w:szCs w:val="18"/>
              </w:rPr>
              <w:t>小计</w:t>
            </w:r>
          </w:p>
        </w:tc>
        <w:tc>
          <w:tcPr>
            <w:tcW w:w="2494" w:type="dxa"/>
            <w:gridSpan w:val="2"/>
            <w:vAlign w:val="center"/>
          </w:tcPr>
          <w:p>
            <w:pPr>
              <w:jc w:val="center"/>
              <w:rPr>
                <w:sz w:val="18"/>
                <w:szCs w:val="18"/>
              </w:rPr>
            </w:pPr>
            <w:r>
              <w:rPr>
                <w:rFonts w:hint="eastAsia"/>
                <w:sz w:val="18"/>
                <w:szCs w:val="18"/>
              </w:rPr>
              <w:t>基本支出</w:t>
            </w:r>
          </w:p>
        </w:tc>
        <w:tc>
          <w:tcPr>
            <w:tcW w:w="1247" w:type="dxa"/>
            <w:vMerge w:val="restart"/>
            <w:vAlign w:val="center"/>
          </w:tcPr>
          <w:p>
            <w:pPr>
              <w:jc w:val="center"/>
              <w:rPr>
                <w:sz w:val="18"/>
                <w:szCs w:val="18"/>
              </w:rPr>
            </w:pPr>
            <w:r>
              <w:rPr>
                <w:rFonts w:hint="eastAsia"/>
                <w:sz w:val="18"/>
                <w:szCs w:val="18"/>
              </w:rPr>
              <w:t>项目支出</w:t>
            </w:r>
          </w:p>
        </w:tc>
        <w:tc>
          <w:tcPr>
            <w:tcW w:w="1247" w:type="dxa"/>
            <w:gridSpan w:val="2"/>
            <w:vMerge w:val="restart"/>
            <w:vAlign w:val="center"/>
          </w:tcPr>
          <w:p>
            <w:pPr>
              <w:jc w:val="center"/>
              <w:rPr>
                <w:sz w:val="18"/>
                <w:szCs w:val="18"/>
              </w:rPr>
            </w:pPr>
            <w:r>
              <w:rPr>
                <w:rFonts w:hint="eastAsia"/>
                <w:sz w:val="18"/>
                <w:szCs w:val="18"/>
              </w:rPr>
              <w:t>小计</w:t>
            </w:r>
          </w:p>
        </w:tc>
        <w:tc>
          <w:tcPr>
            <w:tcW w:w="2494" w:type="dxa"/>
            <w:gridSpan w:val="2"/>
            <w:vAlign w:val="center"/>
          </w:tcPr>
          <w:p>
            <w:pPr>
              <w:jc w:val="center"/>
              <w:rPr>
                <w:sz w:val="18"/>
                <w:szCs w:val="18"/>
              </w:rPr>
            </w:pPr>
            <w:r>
              <w:rPr>
                <w:rFonts w:hint="eastAsia"/>
                <w:sz w:val="18"/>
                <w:szCs w:val="18"/>
              </w:rPr>
              <w:t>基本支出</w:t>
            </w:r>
          </w:p>
        </w:tc>
        <w:tc>
          <w:tcPr>
            <w:tcW w:w="1247" w:type="dxa"/>
            <w:vMerge w:val="restart"/>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vAlign w:val="center"/>
          </w:tcPr>
          <w:p>
            <w:pPr>
              <w:jc w:val="center"/>
              <w:rPr>
                <w:sz w:val="18"/>
                <w:szCs w:val="18"/>
              </w:rPr>
            </w:pPr>
          </w:p>
        </w:tc>
        <w:tc>
          <w:tcPr>
            <w:tcW w:w="1247" w:type="dxa"/>
            <w:vAlign w:val="center"/>
          </w:tcPr>
          <w:p>
            <w:pPr>
              <w:jc w:val="center"/>
              <w:rPr>
                <w:sz w:val="18"/>
                <w:szCs w:val="18"/>
              </w:rPr>
            </w:pPr>
            <w:r>
              <w:rPr>
                <w:rFonts w:hint="eastAsia"/>
                <w:sz w:val="18"/>
                <w:szCs w:val="18"/>
              </w:rPr>
              <w:t>人员经费</w:t>
            </w:r>
          </w:p>
        </w:tc>
        <w:tc>
          <w:tcPr>
            <w:tcW w:w="1247" w:type="dxa"/>
            <w:vAlign w:val="center"/>
          </w:tcPr>
          <w:p>
            <w:pPr>
              <w:jc w:val="center"/>
              <w:rPr>
                <w:sz w:val="18"/>
                <w:szCs w:val="18"/>
              </w:rPr>
            </w:pPr>
            <w:r>
              <w:rPr>
                <w:rFonts w:hint="eastAsia"/>
                <w:sz w:val="18"/>
                <w:szCs w:val="18"/>
              </w:rPr>
              <w:t>公用经费</w:t>
            </w:r>
          </w:p>
        </w:tc>
        <w:tc>
          <w:tcPr>
            <w:tcW w:w="1247" w:type="dxa"/>
            <w:vMerge w:val="continue"/>
            <w:vAlign w:val="center"/>
          </w:tcPr>
          <w:p>
            <w:pPr>
              <w:jc w:val="center"/>
              <w:rPr>
                <w:sz w:val="18"/>
                <w:szCs w:val="18"/>
              </w:rPr>
            </w:pPr>
          </w:p>
        </w:tc>
        <w:tc>
          <w:tcPr>
            <w:tcW w:w="1247" w:type="dxa"/>
            <w:gridSpan w:val="2"/>
            <w:vMerge w:val="continue"/>
            <w:vAlign w:val="center"/>
          </w:tcPr>
          <w:p>
            <w:pPr>
              <w:jc w:val="center"/>
              <w:rPr>
                <w:sz w:val="18"/>
                <w:szCs w:val="18"/>
              </w:rPr>
            </w:pPr>
          </w:p>
        </w:tc>
        <w:tc>
          <w:tcPr>
            <w:tcW w:w="1247" w:type="dxa"/>
            <w:vAlign w:val="center"/>
          </w:tcPr>
          <w:p>
            <w:pPr>
              <w:jc w:val="center"/>
              <w:rPr>
                <w:sz w:val="18"/>
                <w:szCs w:val="18"/>
              </w:rPr>
            </w:pPr>
            <w:r>
              <w:rPr>
                <w:rFonts w:hint="eastAsia"/>
                <w:sz w:val="18"/>
                <w:szCs w:val="18"/>
              </w:rPr>
              <w:t>人员经费</w:t>
            </w:r>
          </w:p>
        </w:tc>
        <w:tc>
          <w:tcPr>
            <w:tcW w:w="1247" w:type="dxa"/>
            <w:vAlign w:val="center"/>
          </w:tcPr>
          <w:p>
            <w:pPr>
              <w:jc w:val="center"/>
              <w:rPr>
                <w:sz w:val="18"/>
                <w:szCs w:val="18"/>
              </w:rPr>
            </w:pPr>
            <w:r>
              <w:rPr>
                <w:rFonts w:hint="eastAsia"/>
                <w:sz w:val="18"/>
                <w:szCs w:val="18"/>
              </w:rPr>
              <w:t>公用经费</w:t>
            </w:r>
          </w:p>
        </w:tc>
        <w:tc>
          <w:tcPr>
            <w:tcW w:w="1247" w:type="dxa"/>
            <w:vMerge w:val="continue"/>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pPr>
              <w:jc w:val="center"/>
              <w:rPr>
                <w:sz w:val="18"/>
                <w:szCs w:val="18"/>
              </w:rPr>
            </w:pPr>
            <w:r>
              <w:rPr>
                <w:rFonts w:hint="eastAsia"/>
                <w:color w:val="000000"/>
                <w:sz w:val="18"/>
                <w:szCs w:val="18"/>
              </w:rPr>
              <w:t>※</w:t>
            </w:r>
          </w:p>
        </w:tc>
        <w:tc>
          <w:tcPr>
            <w:tcW w:w="1247" w:type="dxa"/>
            <w:shd w:val="clear" w:color="auto" w:fill="auto"/>
            <w:vAlign w:val="center"/>
          </w:tcPr>
          <w:p>
            <w:pPr>
              <w:jc w:val="center"/>
              <w:rPr>
                <w:sz w:val="18"/>
                <w:szCs w:val="18"/>
              </w:rPr>
            </w:pPr>
            <w:r>
              <w:rPr>
                <w:rFonts w:hint="eastAsia"/>
                <w:sz w:val="18"/>
                <w:szCs w:val="18"/>
              </w:rPr>
              <w:t>1</w:t>
            </w:r>
          </w:p>
        </w:tc>
        <w:tc>
          <w:tcPr>
            <w:tcW w:w="1247" w:type="dxa"/>
            <w:vAlign w:val="center"/>
          </w:tcPr>
          <w:p>
            <w:pPr>
              <w:jc w:val="center"/>
              <w:rPr>
                <w:rFonts w:hint="eastAsia"/>
                <w:sz w:val="18"/>
                <w:szCs w:val="18"/>
              </w:rPr>
            </w:pPr>
            <w:r>
              <w:rPr>
                <w:rFonts w:hint="eastAsia"/>
                <w:sz w:val="18"/>
                <w:szCs w:val="18"/>
              </w:rPr>
              <w:t>2</w:t>
            </w:r>
          </w:p>
        </w:tc>
        <w:tc>
          <w:tcPr>
            <w:tcW w:w="1247" w:type="dxa"/>
            <w:vAlign w:val="center"/>
          </w:tcPr>
          <w:p>
            <w:pPr>
              <w:jc w:val="center"/>
              <w:rPr>
                <w:rFonts w:hint="eastAsia"/>
                <w:sz w:val="18"/>
                <w:szCs w:val="18"/>
              </w:rPr>
            </w:pPr>
            <w:r>
              <w:rPr>
                <w:rFonts w:hint="eastAsia"/>
                <w:sz w:val="18"/>
                <w:szCs w:val="18"/>
              </w:rPr>
              <w:t>3</w:t>
            </w:r>
          </w:p>
        </w:tc>
        <w:tc>
          <w:tcPr>
            <w:tcW w:w="1247" w:type="dxa"/>
            <w:vAlign w:val="center"/>
          </w:tcPr>
          <w:p>
            <w:pPr>
              <w:jc w:val="center"/>
              <w:rPr>
                <w:rFonts w:hint="eastAsia"/>
                <w:sz w:val="18"/>
                <w:szCs w:val="18"/>
              </w:rPr>
            </w:pPr>
            <w:r>
              <w:rPr>
                <w:rFonts w:hint="eastAsia"/>
                <w:sz w:val="18"/>
                <w:szCs w:val="18"/>
              </w:rPr>
              <w:t>4</w:t>
            </w:r>
          </w:p>
        </w:tc>
        <w:tc>
          <w:tcPr>
            <w:tcW w:w="1247" w:type="dxa"/>
            <w:vAlign w:val="center"/>
          </w:tcPr>
          <w:p>
            <w:pPr>
              <w:jc w:val="center"/>
              <w:rPr>
                <w:rFonts w:hint="eastAsia"/>
                <w:sz w:val="18"/>
                <w:szCs w:val="18"/>
              </w:rPr>
            </w:pPr>
            <w:r>
              <w:rPr>
                <w:rFonts w:hint="eastAsia"/>
                <w:sz w:val="18"/>
                <w:szCs w:val="18"/>
              </w:rPr>
              <w:t>5</w:t>
            </w:r>
          </w:p>
        </w:tc>
        <w:tc>
          <w:tcPr>
            <w:tcW w:w="1247" w:type="dxa"/>
            <w:gridSpan w:val="2"/>
            <w:vAlign w:val="center"/>
          </w:tcPr>
          <w:p>
            <w:pPr>
              <w:jc w:val="center"/>
              <w:rPr>
                <w:rFonts w:hint="eastAsia"/>
                <w:sz w:val="18"/>
                <w:szCs w:val="18"/>
              </w:rPr>
            </w:pPr>
            <w:r>
              <w:rPr>
                <w:rFonts w:hint="eastAsia"/>
                <w:sz w:val="18"/>
                <w:szCs w:val="18"/>
              </w:rPr>
              <w:t>6</w:t>
            </w:r>
          </w:p>
        </w:tc>
        <w:tc>
          <w:tcPr>
            <w:tcW w:w="1247" w:type="dxa"/>
            <w:vAlign w:val="center"/>
          </w:tcPr>
          <w:p>
            <w:pPr>
              <w:jc w:val="center"/>
              <w:rPr>
                <w:rFonts w:hint="eastAsia"/>
                <w:sz w:val="18"/>
                <w:szCs w:val="18"/>
              </w:rPr>
            </w:pPr>
            <w:r>
              <w:rPr>
                <w:rFonts w:hint="eastAsia"/>
                <w:sz w:val="18"/>
                <w:szCs w:val="18"/>
              </w:rPr>
              <w:t>7</w:t>
            </w:r>
          </w:p>
        </w:tc>
        <w:tc>
          <w:tcPr>
            <w:tcW w:w="1247" w:type="dxa"/>
            <w:vAlign w:val="center"/>
          </w:tcPr>
          <w:p>
            <w:pPr>
              <w:jc w:val="center"/>
              <w:rPr>
                <w:rFonts w:hint="eastAsia"/>
                <w:sz w:val="18"/>
                <w:szCs w:val="18"/>
              </w:rPr>
            </w:pPr>
            <w:r>
              <w:rPr>
                <w:rFonts w:hint="eastAsia"/>
                <w:sz w:val="18"/>
                <w:szCs w:val="18"/>
              </w:rPr>
              <w:t>8</w:t>
            </w:r>
          </w:p>
        </w:tc>
        <w:tc>
          <w:tcPr>
            <w:tcW w:w="1247" w:type="dxa"/>
            <w:vAlign w:val="center"/>
          </w:tcPr>
          <w:p>
            <w:pPr>
              <w:jc w:val="center"/>
              <w:rPr>
                <w:rFonts w:hint="eastAsia"/>
                <w:sz w:val="18"/>
                <w:szCs w:val="18"/>
              </w:rPr>
            </w:pPr>
            <w:r>
              <w:rPr>
                <w:rFonts w:hint="eastAsia"/>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rPr>
        <w:t>额敏县额敏河滨河建设服务中心</w:t>
      </w:r>
      <w:r>
        <w:rPr>
          <w:rFonts w:hint="eastAsia" w:ascii="仿宋" w:eastAsia="仿宋"/>
          <w:b/>
          <w:color w:val="000000"/>
          <w:szCs w:val="21"/>
          <w:lang w:eastAsia="zh-CN"/>
        </w:rPr>
        <w:t>2026</w:t>
      </w:r>
      <w:r>
        <w:rPr>
          <w:rFonts w:hint="eastAsia" w:ascii="仿宋" w:eastAsia="仿宋"/>
          <w:b/>
          <w:color w:val="000000"/>
          <w:szCs w:val="21"/>
        </w:rPr>
        <w:t>年没有上年结转结余预算安排的支出，上年结转结余情况明细表为空表。</w:t>
      </w:r>
    </w:p>
    <w:p>
      <w:pPr>
        <w:pStyle w:val="2"/>
        <w:spacing w:before="156" w:beforeLines="50" w:after="156" w:afterLines="50" w:line="240" w:lineRule="atLeast"/>
        <w:jc w:val="center"/>
        <w:rPr>
          <w:rFonts w:ascii="黑体" w:eastAsia="黑体"/>
          <w:sz w:val="30"/>
          <w:szCs w:val="30"/>
        </w:rPr>
      </w:pPr>
      <w:r>
        <w:rPr>
          <w:rFonts w:hint="eastAsia" w:ascii="黑体" w:eastAsia="黑体"/>
          <w:sz w:val="30"/>
          <w:szCs w:val="30"/>
        </w:rPr>
        <w:t xml:space="preserve">第三部分 </w:t>
      </w:r>
      <w:r>
        <w:rPr>
          <w:rFonts w:hint="eastAsia" w:ascii="黑体" w:eastAsia="黑体"/>
          <w:sz w:val="30"/>
          <w:szCs w:val="30"/>
          <w:lang w:eastAsia="zh-CN"/>
        </w:rPr>
        <w:t>2026</w:t>
      </w:r>
      <w:r>
        <w:rPr>
          <w:rFonts w:hint="eastAsia" w:ascii="黑体" w:eastAsia="黑体"/>
          <w:sz w:val="30"/>
          <w:szCs w:val="30"/>
        </w:rPr>
        <w:t>年部门预算情况说明</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关于额敏县额敏河滨河建设服务中心</w:t>
      </w:r>
      <w:r>
        <w:rPr>
          <w:rFonts w:hint="eastAsia" w:ascii="仿宋" w:hAnsi="华文楷体" w:eastAsia="仿宋"/>
          <w:sz w:val="28"/>
          <w:szCs w:val="28"/>
          <w:lang w:eastAsia="zh-CN"/>
        </w:rPr>
        <w:t>2026</w:t>
      </w:r>
      <w:r>
        <w:rPr>
          <w:rFonts w:hint="eastAsia" w:ascii="仿宋" w:hAnsi="华文楷体" w:eastAsia="仿宋"/>
          <w:sz w:val="28"/>
          <w:szCs w:val="28"/>
        </w:rPr>
        <w:t>年收支预算情况</w:t>
      </w:r>
      <w:r>
        <w:rPr>
          <w:rFonts w:hint="eastAsia" w:ascii="仿宋" w:hAnsi="华文楷体" w:eastAsia="仿宋"/>
          <w:sz w:val="28"/>
          <w:szCs w:val="28"/>
          <w:lang w:eastAsia="zh-CN"/>
        </w:rPr>
        <w:t>的</w:t>
      </w:r>
      <w:r>
        <w:rPr>
          <w:rFonts w:hint="eastAsia" w:ascii="仿宋" w:hAnsi="华文楷体" w:eastAsia="仿宋"/>
          <w:sz w:val="28"/>
          <w:szCs w:val="28"/>
        </w:rPr>
        <w:t>总体说明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按照全口径预算的原则，额敏县额敏河滨河建设管理局</w:t>
      </w:r>
      <w:r>
        <w:rPr>
          <w:rFonts w:hint="eastAsia" w:ascii="仿宋" w:hAnsi="微软雅黑" w:eastAsia="仿宋"/>
          <w:sz w:val="28"/>
          <w:szCs w:val="28"/>
          <w:lang w:eastAsia="zh-CN"/>
        </w:rPr>
        <w:t>2026</w:t>
      </w:r>
      <w:r>
        <w:rPr>
          <w:rFonts w:hint="eastAsia" w:ascii="仿宋" w:hAnsi="微软雅黑" w:eastAsia="仿宋"/>
          <w:sz w:val="28"/>
          <w:szCs w:val="28"/>
        </w:rPr>
        <w:t>年所有收入和支出均纳入部门预算管理。收支总预算255.22万元。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收入预算包括：一般公共预算。</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支出预算包括：社会保障和就业支出、卫生健康支出、城乡社区支出、住房保障支出。</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关于额敏县额敏河滨河建设服务中心</w:t>
      </w:r>
      <w:r>
        <w:rPr>
          <w:rFonts w:hint="eastAsia" w:ascii="仿宋" w:hAnsi="华文楷体" w:eastAsia="仿宋"/>
          <w:sz w:val="28"/>
          <w:szCs w:val="28"/>
          <w:lang w:eastAsia="zh-CN"/>
        </w:rPr>
        <w:t>2026</w:t>
      </w:r>
      <w:r>
        <w:rPr>
          <w:rFonts w:hint="eastAsia" w:ascii="仿宋" w:hAnsi="华文楷体" w:eastAsia="仿宋"/>
          <w:sz w:val="28"/>
          <w:szCs w:val="28"/>
        </w:rPr>
        <w:t>年收入预算情况说明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额敏县额敏河滨河建设管理局部门收入预算255.22万元，其中：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一般公共预算255.22万元，占100.00%，比上年预算减少52.62万元，下降17.09%，主要原因是</w:t>
      </w:r>
      <w:r>
        <w:rPr>
          <w:rFonts w:hint="eastAsia" w:ascii="仿宋" w:hAnsi="微软雅黑" w:eastAsia="仿宋"/>
          <w:sz w:val="28"/>
          <w:szCs w:val="28"/>
          <w:lang w:eastAsia="zh-CN"/>
        </w:rPr>
        <w:t>本年度减少归还以前年度项目资金</w:t>
      </w:r>
      <w:r>
        <w:rPr>
          <w:rFonts w:hint="eastAsia" w:ascii="仿宋" w:hAnsi="微软雅黑" w:eastAsia="仿宋"/>
          <w:sz w:val="28"/>
          <w:szCs w:val="28"/>
        </w:rPr>
        <w:t>，</w:t>
      </w:r>
      <w:r>
        <w:rPr>
          <w:rFonts w:hint="eastAsia" w:ascii="仿宋" w:hAnsi="微软雅黑" w:eastAsia="仿宋"/>
          <w:sz w:val="28"/>
          <w:szCs w:val="28"/>
          <w:lang w:val="en-US" w:eastAsia="zh-CN"/>
        </w:rPr>
        <w:t>所以预算较上年减少</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上级一般公共预算安排的转移支付资金未安排。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上级国有资本经营预算安排的转移支付资金未安排。</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关于额敏县额敏河滨河建设服务中心</w:t>
      </w:r>
      <w:r>
        <w:rPr>
          <w:rFonts w:hint="eastAsia" w:ascii="仿宋" w:hAnsi="华文楷体" w:eastAsia="仿宋"/>
          <w:sz w:val="28"/>
          <w:szCs w:val="28"/>
          <w:lang w:eastAsia="zh-CN"/>
        </w:rPr>
        <w:t>2026</w:t>
      </w:r>
      <w:r>
        <w:rPr>
          <w:rFonts w:hint="eastAsia" w:ascii="仿宋" w:hAnsi="华文楷体" w:eastAsia="仿宋"/>
          <w:sz w:val="28"/>
          <w:szCs w:val="28"/>
        </w:rPr>
        <w:t>年支出预算情况说明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额敏县额敏河滨河建设管理局</w:t>
      </w:r>
      <w:r>
        <w:rPr>
          <w:rFonts w:hint="eastAsia" w:ascii="仿宋" w:hAnsi="微软雅黑" w:eastAsia="仿宋"/>
          <w:sz w:val="28"/>
          <w:szCs w:val="28"/>
          <w:lang w:eastAsia="zh-CN"/>
        </w:rPr>
        <w:t>2026</w:t>
      </w:r>
      <w:r>
        <w:rPr>
          <w:rFonts w:hint="eastAsia" w:ascii="仿宋" w:hAnsi="微软雅黑" w:eastAsia="仿宋"/>
          <w:sz w:val="28"/>
          <w:szCs w:val="28"/>
        </w:rPr>
        <w:t>年支出预算255.22万元，其中：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基本支出255.22万元，占100.00%，比上年预算增加10.88万元，增长4.45%，主要原因是在职人员基本工资上调，社会保障缴费和住房公积金缴费基数上调</w:t>
      </w:r>
      <w:r>
        <w:rPr>
          <w:rFonts w:hint="eastAsia" w:ascii="仿宋" w:hAnsi="微软雅黑" w:eastAsia="仿宋"/>
          <w:sz w:val="28"/>
          <w:szCs w:val="28"/>
          <w:lang w:eastAsia="zh-CN"/>
        </w:rPr>
        <w:t>，</w:t>
      </w:r>
      <w:r>
        <w:rPr>
          <w:rFonts w:hint="eastAsia" w:ascii="仿宋" w:hAnsi="微软雅黑" w:eastAsia="仿宋"/>
          <w:sz w:val="28"/>
          <w:szCs w:val="28"/>
          <w:lang w:val="en-US" w:eastAsia="zh-CN"/>
        </w:rPr>
        <w:t>所以预算较上年增加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项目支出0.00万元，占0.00%，比上年预算减少63.50万元，下降100.00%，主要原因是</w:t>
      </w:r>
      <w:r>
        <w:rPr>
          <w:rFonts w:hint="eastAsia" w:ascii="仿宋" w:hAnsi="微软雅黑" w:eastAsia="仿宋"/>
          <w:sz w:val="28"/>
          <w:szCs w:val="28"/>
          <w:lang w:eastAsia="zh-CN"/>
        </w:rPr>
        <w:t>本年度减少归还以前年度项目资金</w:t>
      </w:r>
      <w:r>
        <w:rPr>
          <w:rFonts w:hint="eastAsia" w:ascii="仿宋" w:hAnsi="微软雅黑" w:eastAsia="仿宋"/>
          <w:sz w:val="28"/>
          <w:szCs w:val="28"/>
        </w:rPr>
        <w:t>，</w:t>
      </w:r>
      <w:r>
        <w:rPr>
          <w:rFonts w:hint="eastAsia" w:ascii="仿宋" w:hAnsi="微软雅黑" w:eastAsia="仿宋"/>
          <w:sz w:val="28"/>
          <w:szCs w:val="28"/>
          <w:lang w:val="en-US" w:eastAsia="zh-CN"/>
        </w:rPr>
        <w:t>所以预算较上年减少</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关于额敏县额敏河滨河建设服务中心</w:t>
      </w:r>
      <w:r>
        <w:rPr>
          <w:rFonts w:hint="eastAsia" w:ascii="仿宋" w:hAnsi="华文楷体" w:eastAsia="仿宋"/>
          <w:sz w:val="28"/>
          <w:szCs w:val="28"/>
          <w:lang w:eastAsia="zh-CN"/>
        </w:rPr>
        <w:t>2026</w:t>
      </w:r>
      <w:r>
        <w:rPr>
          <w:rFonts w:hint="eastAsia" w:ascii="仿宋" w:hAnsi="华文楷体" w:eastAsia="仿宋"/>
          <w:sz w:val="28"/>
          <w:szCs w:val="28"/>
        </w:rPr>
        <w:t>年财政拨款收支预算情况的总体说明</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年财政拨款收支总预算255.22万元。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sz w:val="28"/>
          <w:szCs w:val="28"/>
        </w:rPr>
      </w:pPr>
      <w:r>
        <w:rPr>
          <w:rFonts w:hint="eastAsia" w:ascii="仿宋" w:hAnsi="微软雅黑" w:eastAsia="仿宋"/>
          <w:sz w:val="28"/>
          <w:szCs w:val="28"/>
        </w:rPr>
        <w:t>收入预算包括：一般公共预算拨款255.22万元。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rPr>
        <w:t>一般公共预算支出包括：社会保障和就业支出26.18万元，主要用于本</w:t>
      </w:r>
      <w:r>
        <w:rPr>
          <w:rFonts w:hint="eastAsia" w:ascii="仿宋" w:hAnsi="微软雅黑" w:eastAsia="仿宋"/>
          <w:sz w:val="28"/>
          <w:szCs w:val="28"/>
          <w:lang w:eastAsia="zh-CN"/>
        </w:rPr>
        <w:t>部门</w:t>
      </w:r>
      <w:r>
        <w:rPr>
          <w:rFonts w:hint="eastAsia" w:ascii="仿宋" w:hAnsi="微软雅黑" w:eastAsia="仿宋"/>
          <w:sz w:val="28"/>
          <w:szCs w:val="28"/>
        </w:rPr>
        <w:t>职工福利费、退休费、机关事业单位基本养老保险缴费、职业年金缴费；卫生健康支出12.54万元，主要用于本</w:t>
      </w:r>
      <w:r>
        <w:rPr>
          <w:rFonts w:hint="eastAsia" w:ascii="仿宋" w:hAnsi="微软雅黑" w:eastAsia="仿宋"/>
          <w:sz w:val="28"/>
          <w:szCs w:val="28"/>
          <w:lang w:eastAsia="zh-CN"/>
        </w:rPr>
        <w:t>部门</w:t>
      </w:r>
      <w:r>
        <w:rPr>
          <w:rFonts w:hint="eastAsia" w:ascii="仿宋" w:hAnsi="微软雅黑" w:eastAsia="仿宋"/>
          <w:sz w:val="28"/>
          <w:szCs w:val="28"/>
        </w:rPr>
        <w:t>职工基本医疗保险缴费；城乡社区支出195.35万元，主要用于基本工资、津贴补贴、奖金、绩效工资、其他社会保障缴费、办公费、手续费、水费、邮电费、取暖费、差旅费、维修（护）费、工会经费、福利费、奖励金；住房保障支出21.14万元，主要用于本</w:t>
      </w:r>
      <w:r>
        <w:rPr>
          <w:rFonts w:hint="eastAsia" w:ascii="仿宋" w:hAnsi="微软雅黑" w:eastAsia="仿宋"/>
          <w:sz w:val="28"/>
          <w:szCs w:val="28"/>
          <w:lang w:eastAsia="zh-CN"/>
        </w:rPr>
        <w:t>部门</w:t>
      </w:r>
      <w:r>
        <w:rPr>
          <w:rFonts w:hint="eastAsia" w:ascii="仿宋" w:hAnsi="微软雅黑" w:eastAsia="仿宋"/>
          <w:sz w:val="28"/>
          <w:szCs w:val="28"/>
        </w:rPr>
        <w:t>在职人员住房公积金缴费。</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关于额敏县额敏河滨河建设服务中心</w:t>
      </w:r>
      <w:r>
        <w:rPr>
          <w:rFonts w:hint="eastAsia" w:ascii="仿宋" w:hAnsi="华文楷体" w:eastAsia="仿宋"/>
          <w:sz w:val="28"/>
          <w:szCs w:val="28"/>
          <w:lang w:eastAsia="zh-CN"/>
        </w:rPr>
        <w:t>2026</w:t>
      </w:r>
      <w:r>
        <w:rPr>
          <w:rFonts w:hint="eastAsia" w:ascii="仿宋" w:hAnsi="华文楷体" w:eastAsia="仿宋"/>
          <w:sz w:val="28"/>
          <w:szCs w:val="28"/>
        </w:rPr>
        <w:t>年一般公共预算当年拨款情况说明</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额敏县额敏河滨河建设管理局</w:t>
      </w:r>
      <w:r>
        <w:rPr>
          <w:rFonts w:hint="eastAsia" w:ascii="仿宋" w:hAnsi="微软雅黑" w:eastAsia="仿宋"/>
          <w:sz w:val="28"/>
          <w:szCs w:val="28"/>
          <w:lang w:eastAsia="zh-CN"/>
        </w:rPr>
        <w:t>2026</w:t>
      </w:r>
      <w:r>
        <w:rPr>
          <w:rFonts w:hint="eastAsia" w:ascii="仿宋" w:hAnsi="微软雅黑" w:eastAsia="仿宋"/>
          <w:sz w:val="28"/>
          <w:szCs w:val="28"/>
        </w:rPr>
        <w:t>年一般公共预算拨款合计255.22万元，其中：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基本支出255.22万元，比上年预算增加10.88万元，增长4.45%，主要原因是在职人员基本工资上调，社会保障缴费和住房公积金缴费基数上调</w:t>
      </w:r>
      <w:r>
        <w:rPr>
          <w:rFonts w:hint="eastAsia" w:ascii="仿宋" w:hAnsi="微软雅黑" w:eastAsia="仿宋"/>
          <w:sz w:val="28"/>
          <w:szCs w:val="28"/>
          <w:lang w:eastAsia="zh-CN"/>
        </w:rPr>
        <w:t>，</w:t>
      </w:r>
      <w:r>
        <w:rPr>
          <w:rFonts w:hint="eastAsia" w:ascii="仿宋" w:hAnsi="微软雅黑" w:eastAsia="仿宋"/>
          <w:sz w:val="28"/>
          <w:szCs w:val="28"/>
          <w:lang w:val="en-US" w:eastAsia="zh-CN"/>
        </w:rPr>
        <w:t>所以预算较上年增加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项目支出0.00万元，比上年预算减少63.50万元，下降100.00%，主要原因是</w:t>
      </w:r>
      <w:r>
        <w:rPr>
          <w:rFonts w:hint="eastAsia" w:ascii="仿宋" w:hAnsi="微软雅黑" w:eastAsia="仿宋"/>
          <w:sz w:val="28"/>
          <w:szCs w:val="28"/>
          <w:lang w:eastAsia="zh-CN"/>
        </w:rPr>
        <w:t>本年度较上年减少归还以前年度项目资金</w:t>
      </w:r>
      <w:r>
        <w:rPr>
          <w:rFonts w:hint="eastAsia" w:ascii="仿宋" w:hAnsi="微软雅黑" w:eastAsia="仿宋"/>
          <w:sz w:val="28"/>
          <w:szCs w:val="28"/>
        </w:rPr>
        <w:t>，</w:t>
      </w:r>
      <w:r>
        <w:rPr>
          <w:rFonts w:hint="eastAsia" w:ascii="仿宋" w:hAnsi="微软雅黑" w:eastAsia="仿宋"/>
          <w:sz w:val="28"/>
          <w:szCs w:val="28"/>
          <w:lang w:val="en-US" w:eastAsia="zh-CN"/>
        </w:rPr>
        <w:t>所以预算较上年减少</w:t>
      </w:r>
      <w:r>
        <w:rPr>
          <w:rFonts w:hint="eastAsia" w:ascii="仿宋" w:hAnsi="微软雅黑" w:eastAsia="仿宋"/>
          <w:sz w:val="28"/>
          <w:szCs w:val="28"/>
        </w:rPr>
        <w:t>。</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（二）一般公共预算当年拨款结构情况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1、社会保障和就业支出（类）26.18万元，占10.26%。</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2、卫生健康支出（类）12.54万元，占4.91%。</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3、城乡社区支出（类）195.35万元，占76.54%。</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4、住房保障支出（类）21.14万元，占8.28%。</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w:t>
      </w:r>
      <w:r>
        <w:rPr>
          <w:rFonts w:hint="eastAsia" w:ascii="仿宋" w:hAnsi="微软雅黑" w:eastAsia="仿宋"/>
          <w:sz w:val="28"/>
          <w:szCs w:val="28"/>
          <w:lang w:eastAsia="zh-CN"/>
        </w:rPr>
        <w:t>2026</w:t>
      </w:r>
      <w:r>
        <w:rPr>
          <w:rFonts w:hint="eastAsia" w:ascii="仿宋" w:hAnsi="微软雅黑" w:eastAsia="仿宋"/>
          <w:sz w:val="28"/>
          <w:szCs w:val="28"/>
        </w:rPr>
        <w:t>年预算数为1.02万元，比上年预算减少0.53万元，下降34.19%，主要原因是</w:t>
      </w:r>
      <w:r>
        <w:rPr>
          <w:rFonts w:hint="eastAsia" w:ascii="仿宋" w:hAnsi="微软雅黑" w:eastAsia="仿宋"/>
          <w:sz w:val="28"/>
          <w:szCs w:val="28"/>
          <w:highlight w:val="none"/>
        </w:rPr>
        <w:t>根据新医保发〔2023〕58号相关规定，</w:t>
      </w:r>
      <w:r>
        <w:rPr>
          <w:rFonts w:hint="eastAsia" w:ascii="仿宋" w:hAnsi="微软雅黑" w:eastAsia="仿宋"/>
          <w:sz w:val="28"/>
          <w:szCs w:val="28"/>
          <w:highlight w:val="none"/>
          <w:lang w:val="en-US" w:eastAsia="zh-CN"/>
        </w:rPr>
        <w:t>部门</w:t>
      </w:r>
      <w:r>
        <w:rPr>
          <w:rFonts w:hint="eastAsia" w:ascii="仿宋" w:hAnsi="微软雅黑" w:eastAsia="仿宋"/>
          <w:sz w:val="28"/>
          <w:szCs w:val="28"/>
          <w:highlight w:val="none"/>
        </w:rPr>
        <w:t>退休人员医保缴费年限已满，不再缴纳医疗保险，因此</w:t>
      </w:r>
      <w:r>
        <w:rPr>
          <w:rFonts w:hint="eastAsia" w:ascii="仿宋" w:hAnsi="微软雅黑" w:eastAsia="仿宋"/>
          <w:sz w:val="28"/>
          <w:szCs w:val="28"/>
          <w:highlight w:val="none"/>
          <w:lang w:val="en-US" w:eastAsia="zh-CN"/>
        </w:rPr>
        <w:t>预算较</w:t>
      </w:r>
      <w:r>
        <w:rPr>
          <w:rFonts w:hint="eastAsia" w:ascii="仿宋" w:hAnsi="微软雅黑" w:eastAsia="仿宋"/>
          <w:sz w:val="28"/>
          <w:szCs w:val="28"/>
          <w:highlight w:val="none"/>
        </w:rPr>
        <w:t>上年有所下降</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年预算数为25.16万元，比上年预算增加1.67万元，增长7.11%，主要原因是</w:t>
      </w:r>
      <w:r>
        <w:rPr>
          <w:rFonts w:hint="eastAsia" w:ascii="仿宋" w:hAnsi="微软雅黑" w:eastAsia="仿宋"/>
          <w:sz w:val="28"/>
          <w:szCs w:val="28"/>
          <w:highlight w:val="none"/>
        </w:rPr>
        <w:t>根据新医保发〔2023〕58号相关规定，</w:t>
      </w:r>
      <w:r>
        <w:rPr>
          <w:rFonts w:hint="eastAsia" w:ascii="仿宋" w:hAnsi="微软雅黑" w:eastAsia="仿宋"/>
          <w:sz w:val="28"/>
          <w:szCs w:val="28"/>
          <w:highlight w:val="none"/>
          <w:lang w:val="en-US" w:eastAsia="zh-CN"/>
        </w:rPr>
        <w:t>部门</w:t>
      </w:r>
      <w:r>
        <w:rPr>
          <w:rFonts w:hint="eastAsia" w:ascii="仿宋" w:hAnsi="微软雅黑" w:eastAsia="仿宋"/>
          <w:sz w:val="28"/>
          <w:szCs w:val="28"/>
          <w:highlight w:val="none"/>
        </w:rPr>
        <w:t>退休人员医保缴费年限已满，不再缴纳医疗保险，因此</w:t>
      </w:r>
      <w:r>
        <w:rPr>
          <w:rFonts w:hint="eastAsia" w:ascii="仿宋" w:hAnsi="微软雅黑" w:eastAsia="仿宋"/>
          <w:sz w:val="28"/>
          <w:szCs w:val="28"/>
          <w:highlight w:val="none"/>
          <w:lang w:val="en-US" w:eastAsia="zh-CN"/>
        </w:rPr>
        <w:t>预算较</w:t>
      </w:r>
      <w:r>
        <w:rPr>
          <w:rFonts w:hint="eastAsia" w:ascii="仿宋" w:hAnsi="微软雅黑" w:eastAsia="仿宋"/>
          <w:sz w:val="28"/>
          <w:szCs w:val="28"/>
          <w:highlight w:val="none"/>
        </w:rPr>
        <w:t>上年有所下降</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年预算数为0.00万元，比上年预算减少11.75万元，下降100.00%，主要原因是</w:t>
      </w:r>
      <w:r>
        <w:rPr>
          <w:rFonts w:hint="eastAsia" w:ascii="仿宋" w:hAnsi="微软雅黑" w:eastAsia="仿宋"/>
          <w:sz w:val="28"/>
          <w:szCs w:val="28"/>
          <w:lang w:eastAsia="zh-CN"/>
        </w:rPr>
        <w:t>2026</w:t>
      </w:r>
      <w:r>
        <w:rPr>
          <w:rFonts w:hint="eastAsia" w:ascii="仿宋" w:hAnsi="微软雅黑" w:eastAsia="仿宋"/>
          <w:sz w:val="28"/>
          <w:szCs w:val="28"/>
        </w:rPr>
        <w:t>年职业年金由财政统一代编，部门减少了职业年金的支出预算，所以预算较上年减少。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4、卫生健康支出（类）行政事业单位医疗（款）事业单位医疗（项）：</w:t>
      </w:r>
      <w:r>
        <w:rPr>
          <w:rFonts w:hint="eastAsia" w:ascii="仿宋" w:hAnsi="微软雅黑" w:eastAsia="仿宋"/>
          <w:sz w:val="28"/>
          <w:szCs w:val="28"/>
          <w:lang w:eastAsia="zh-CN"/>
        </w:rPr>
        <w:t>2026</w:t>
      </w:r>
      <w:r>
        <w:rPr>
          <w:rFonts w:hint="eastAsia" w:ascii="仿宋" w:hAnsi="微软雅黑" w:eastAsia="仿宋"/>
          <w:sz w:val="28"/>
          <w:szCs w:val="28"/>
        </w:rPr>
        <w:t>年预算数为12.54万元，比上年预算增加0.79万元，增长6.72%，主要原因是</w:t>
      </w:r>
      <w:r>
        <w:rPr>
          <w:rFonts w:hint="eastAsia" w:ascii="仿宋" w:hAnsi="微软雅黑" w:eastAsia="仿宋"/>
          <w:sz w:val="28"/>
          <w:szCs w:val="28"/>
          <w:lang w:val="en-US" w:eastAsia="zh-CN"/>
        </w:rPr>
        <w:t>2026年人员工资调增，社保基数增加，</w:t>
      </w:r>
      <w:r>
        <w:rPr>
          <w:rFonts w:hint="eastAsia" w:ascii="仿宋" w:hAnsi="微软雅黑" w:eastAsia="仿宋"/>
          <w:sz w:val="28"/>
          <w:szCs w:val="28"/>
        </w:rPr>
        <w:t>事业单位医疗</w:t>
      </w:r>
      <w:r>
        <w:rPr>
          <w:rFonts w:hint="eastAsia" w:ascii="仿宋" w:hAnsi="微软雅黑" w:eastAsia="仿宋"/>
          <w:sz w:val="28"/>
          <w:szCs w:val="28"/>
          <w:lang w:val="en-US" w:eastAsia="zh-CN"/>
        </w:rPr>
        <w:t>预算增加</w:t>
      </w:r>
      <w:r>
        <w:rPr>
          <w:rFonts w:hint="eastAsia" w:ascii="仿宋" w:hAnsi="微软雅黑" w:eastAsia="仿宋"/>
          <w:sz w:val="28"/>
          <w:szCs w:val="28"/>
          <w:lang w:eastAsia="zh-CN"/>
        </w:rPr>
        <w:t>，</w:t>
      </w:r>
      <w:r>
        <w:rPr>
          <w:rFonts w:hint="eastAsia" w:ascii="仿宋" w:hAnsi="微软雅黑" w:eastAsia="仿宋"/>
          <w:sz w:val="28"/>
          <w:szCs w:val="28"/>
          <w:lang w:val="en-US" w:eastAsia="zh-CN"/>
        </w:rPr>
        <w:t>所以预算较上年增加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5、城乡社区支出（类）城乡社区公共设施（款）其他城乡社区公共设施支出（项）：</w:t>
      </w:r>
      <w:r>
        <w:rPr>
          <w:rFonts w:hint="eastAsia" w:ascii="仿宋" w:hAnsi="微软雅黑" w:eastAsia="仿宋"/>
          <w:sz w:val="28"/>
          <w:szCs w:val="28"/>
          <w:lang w:eastAsia="zh-CN"/>
        </w:rPr>
        <w:t>2026</w:t>
      </w:r>
      <w:r>
        <w:rPr>
          <w:rFonts w:hint="eastAsia" w:ascii="仿宋" w:hAnsi="微软雅黑" w:eastAsia="仿宋"/>
          <w:sz w:val="28"/>
          <w:szCs w:val="28"/>
        </w:rPr>
        <w:t>年预算数为195.35万元，比上年预算减少44.80万元，下降18.66%，主要原因是</w:t>
      </w:r>
      <w:r>
        <w:rPr>
          <w:rFonts w:hint="eastAsia" w:ascii="仿宋" w:hAnsi="微软雅黑" w:eastAsia="仿宋"/>
          <w:sz w:val="28"/>
          <w:szCs w:val="28"/>
          <w:lang w:eastAsia="zh-CN"/>
        </w:rPr>
        <w:t>本年度较上年减少归还以前年度项目资金</w:t>
      </w:r>
      <w:r>
        <w:rPr>
          <w:rFonts w:hint="eastAsia" w:ascii="仿宋" w:hAnsi="微软雅黑" w:eastAsia="仿宋"/>
          <w:sz w:val="28"/>
          <w:szCs w:val="28"/>
        </w:rPr>
        <w:t>，</w:t>
      </w:r>
      <w:r>
        <w:rPr>
          <w:rFonts w:hint="eastAsia" w:ascii="仿宋" w:hAnsi="微软雅黑" w:eastAsia="仿宋"/>
          <w:sz w:val="28"/>
          <w:szCs w:val="28"/>
          <w:lang w:val="en-US" w:eastAsia="zh-CN"/>
        </w:rPr>
        <w:t>所以预算较上年减少</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6、住房保障支出（类）住房改革支出（款）住房公积金（项）：</w:t>
      </w:r>
      <w:r>
        <w:rPr>
          <w:rFonts w:hint="eastAsia" w:ascii="仿宋" w:hAnsi="微软雅黑" w:eastAsia="仿宋"/>
          <w:sz w:val="28"/>
          <w:szCs w:val="28"/>
          <w:lang w:eastAsia="zh-CN"/>
        </w:rPr>
        <w:t>2026</w:t>
      </w:r>
      <w:r>
        <w:rPr>
          <w:rFonts w:hint="eastAsia" w:ascii="仿宋" w:hAnsi="微软雅黑" w:eastAsia="仿宋"/>
          <w:sz w:val="28"/>
          <w:szCs w:val="28"/>
        </w:rPr>
        <w:t>年预算数为21.14万元，比上年预算增加1.98万元，增长10.33%，主要原因是</w:t>
      </w:r>
      <w:r>
        <w:rPr>
          <w:rFonts w:hint="eastAsia" w:ascii="仿宋" w:hAnsi="微软雅黑" w:eastAsia="仿宋"/>
          <w:sz w:val="28"/>
          <w:szCs w:val="28"/>
          <w:lang w:val="en-US" w:eastAsia="zh-CN"/>
        </w:rPr>
        <w:t>2026年人员工资调增，社保基数增加，</w:t>
      </w:r>
      <w:r>
        <w:rPr>
          <w:rFonts w:hint="eastAsia" w:ascii="仿宋" w:hAnsi="微软雅黑" w:eastAsia="仿宋"/>
          <w:sz w:val="28"/>
          <w:szCs w:val="28"/>
        </w:rPr>
        <w:t>住房公积金</w:t>
      </w:r>
      <w:r>
        <w:rPr>
          <w:rFonts w:hint="eastAsia" w:ascii="仿宋" w:hAnsi="微软雅黑" w:eastAsia="仿宋"/>
          <w:sz w:val="28"/>
          <w:szCs w:val="28"/>
          <w:lang w:val="en-US" w:eastAsia="zh-CN"/>
        </w:rPr>
        <w:t>预算增加</w:t>
      </w:r>
      <w:r>
        <w:rPr>
          <w:rFonts w:hint="eastAsia" w:ascii="仿宋" w:hAnsi="微软雅黑" w:eastAsia="仿宋"/>
          <w:sz w:val="28"/>
          <w:szCs w:val="28"/>
          <w:lang w:eastAsia="zh-CN"/>
        </w:rPr>
        <w:t>，</w:t>
      </w:r>
      <w:r>
        <w:rPr>
          <w:rFonts w:hint="eastAsia" w:ascii="仿宋" w:hAnsi="微软雅黑" w:eastAsia="仿宋"/>
          <w:sz w:val="28"/>
          <w:szCs w:val="28"/>
          <w:lang w:val="en-US" w:eastAsia="zh-CN"/>
        </w:rPr>
        <w:t>所以预算较上年增加</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关于额敏县额敏河滨河建设服务中心</w:t>
      </w:r>
      <w:r>
        <w:rPr>
          <w:rFonts w:hint="eastAsia" w:ascii="仿宋" w:hAnsi="华文楷体" w:eastAsia="仿宋"/>
          <w:sz w:val="28"/>
          <w:szCs w:val="28"/>
          <w:lang w:eastAsia="zh-CN"/>
        </w:rPr>
        <w:t>2026</w:t>
      </w:r>
      <w:r>
        <w:rPr>
          <w:rFonts w:hint="eastAsia" w:ascii="仿宋" w:hAnsi="华文楷体" w:eastAsia="仿宋"/>
          <w:sz w:val="28"/>
          <w:szCs w:val="28"/>
        </w:rPr>
        <w:t>年一般公共预算基本支出情况说明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额敏县额敏河滨河建设管理局</w:t>
      </w:r>
      <w:r>
        <w:rPr>
          <w:rFonts w:hint="eastAsia" w:ascii="仿宋" w:hAnsi="微软雅黑" w:eastAsia="仿宋"/>
          <w:sz w:val="28"/>
          <w:szCs w:val="28"/>
          <w:lang w:eastAsia="zh-CN"/>
        </w:rPr>
        <w:t>2026</w:t>
      </w:r>
      <w:r>
        <w:rPr>
          <w:rFonts w:hint="eastAsia" w:ascii="仿宋" w:hAnsi="微软雅黑" w:eastAsia="仿宋"/>
          <w:sz w:val="28"/>
          <w:szCs w:val="28"/>
        </w:rPr>
        <w:t>年一般公共预算基本支出255.22万元，其中：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人员经费238.33万元，主要包括：基本工资、津贴补贴、奖金、绩效工资、机关事业单位基本养老保险缴费、职工基本医疗保险缴费、其他社会保障缴费、住房公积金、退休费、奖励金。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公用经费16.89万元，主要包括：办公费、手续费、水费、邮电费、取暖费、维修（护）费、工会经费、福利费。</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关于额敏县额敏河滨河建设服务中心</w:t>
      </w:r>
      <w:r>
        <w:rPr>
          <w:rFonts w:hint="eastAsia" w:ascii="仿宋" w:hAnsi="华文楷体" w:eastAsia="仿宋"/>
          <w:sz w:val="28"/>
          <w:szCs w:val="28"/>
          <w:lang w:eastAsia="zh-CN"/>
        </w:rPr>
        <w:t>2026</w:t>
      </w:r>
      <w:r>
        <w:rPr>
          <w:rFonts w:hint="eastAsia" w:ascii="仿宋" w:hAnsi="华文楷体" w:eastAsia="仿宋"/>
          <w:sz w:val="28"/>
          <w:szCs w:val="28"/>
        </w:rPr>
        <w:t>年一般公共预算项目支出情况说明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额敏县额敏河滨河建设服务中心</w:t>
      </w:r>
      <w:r>
        <w:rPr>
          <w:rFonts w:hint="eastAsia" w:ascii="仿宋" w:hAnsi="微软雅黑" w:eastAsia="仿宋"/>
          <w:sz w:val="28"/>
          <w:szCs w:val="28"/>
          <w:lang w:eastAsia="zh-CN"/>
        </w:rPr>
        <w:t>2026</w:t>
      </w:r>
      <w:r>
        <w:rPr>
          <w:rFonts w:hint="eastAsia" w:ascii="仿宋" w:hAnsi="微软雅黑" w:eastAsia="仿宋"/>
          <w:sz w:val="28"/>
          <w:szCs w:val="28"/>
        </w:rPr>
        <w:t>年没有使用一般公共预算安排项目支出，一般公共预算项目支出情况表为空表。</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关于额敏县额敏河滨河建设服务中心</w:t>
      </w:r>
      <w:r>
        <w:rPr>
          <w:rFonts w:hint="eastAsia" w:ascii="仿宋" w:hAnsi="华文楷体" w:eastAsia="仿宋"/>
          <w:sz w:val="28"/>
          <w:szCs w:val="28"/>
          <w:lang w:eastAsia="zh-CN"/>
        </w:rPr>
        <w:t>2026</w:t>
      </w:r>
      <w:r>
        <w:rPr>
          <w:rFonts w:hint="eastAsia" w:ascii="仿宋" w:hAnsi="华文楷体" w:eastAsia="仿宋"/>
          <w:sz w:val="28"/>
          <w:szCs w:val="28"/>
        </w:rPr>
        <w:t>年政府性基金预算拨款情况说明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额敏县额敏河滨河建设管理局</w:t>
      </w:r>
      <w:r>
        <w:rPr>
          <w:rFonts w:hint="eastAsia" w:ascii="仿宋" w:hAnsi="微软雅黑" w:eastAsia="仿宋"/>
          <w:sz w:val="28"/>
          <w:szCs w:val="28"/>
          <w:lang w:eastAsia="zh-CN"/>
        </w:rPr>
        <w:t>2026</w:t>
      </w:r>
      <w:r>
        <w:rPr>
          <w:rFonts w:hint="eastAsia" w:ascii="仿宋" w:hAnsi="微软雅黑" w:eastAsia="仿宋"/>
          <w:sz w:val="28"/>
          <w:szCs w:val="28"/>
        </w:rPr>
        <w:t>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关于额敏县额敏河滨河建设服务中心</w:t>
      </w:r>
      <w:r>
        <w:rPr>
          <w:rFonts w:hint="eastAsia" w:ascii="仿宋" w:hAnsi="华文楷体" w:eastAsia="仿宋"/>
          <w:sz w:val="28"/>
          <w:szCs w:val="28"/>
          <w:lang w:eastAsia="zh-CN"/>
        </w:rPr>
        <w:t>2026</w:t>
      </w:r>
      <w:r>
        <w:rPr>
          <w:rFonts w:hint="eastAsia" w:ascii="仿宋" w:hAnsi="华文楷体" w:eastAsia="仿宋"/>
          <w:sz w:val="28"/>
          <w:szCs w:val="28"/>
        </w:rPr>
        <w:t>年国有资本经营预算拨款情况说明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额敏县额敏河滨河建设管理局</w:t>
      </w:r>
      <w:r>
        <w:rPr>
          <w:rFonts w:hint="eastAsia" w:ascii="仿宋" w:hAnsi="微软雅黑" w:eastAsia="仿宋"/>
          <w:sz w:val="28"/>
          <w:szCs w:val="28"/>
          <w:lang w:eastAsia="zh-CN"/>
        </w:rPr>
        <w:t>2026</w:t>
      </w:r>
      <w:r>
        <w:rPr>
          <w:rFonts w:hint="eastAsia" w:ascii="仿宋" w:hAnsi="微软雅黑" w:eastAsia="仿宋"/>
          <w:sz w:val="28"/>
          <w:szCs w:val="28"/>
        </w:rPr>
        <w:t>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关于额敏县额敏河滨河建设服务中心</w:t>
      </w:r>
      <w:r>
        <w:rPr>
          <w:rFonts w:hint="eastAsia" w:ascii="仿宋" w:hAnsi="华文楷体" w:eastAsia="仿宋"/>
          <w:sz w:val="28"/>
          <w:szCs w:val="28"/>
          <w:lang w:eastAsia="zh-CN"/>
        </w:rPr>
        <w:t>2026</w:t>
      </w:r>
      <w:r>
        <w:rPr>
          <w:rFonts w:hint="eastAsia" w:ascii="仿宋" w:hAnsi="华文楷体" w:eastAsia="仿宋"/>
          <w:sz w:val="28"/>
          <w:szCs w:val="28"/>
        </w:rPr>
        <w:t>年财政拨款“三公”经费预算情况说明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额敏县额敏河滨河建设管理局</w:t>
      </w:r>
      <w:r>
        <w:rPr>
          <w:rFonts w:hint="eastAsia" w:ascii="仿宋" w:hAnsi="微软雅黑" w:eastAsia="仿宋"/>
          <w:sz w:val="28"/>
          <w:szCs w:val="28"/>
          <w:lang w:eastAsia="zh-CN"/>
        </w:rPr>
        <w:t>2026</w:t>
      </w:r>
      <w:r>
        <w:rPr>
          <w:rFonts w:hint="eastAsia" w:ascii="仿宋" w:hAnsi="微软雅黑" w:eastAsia="仿宋"/>
          <w:sz w:val="28"/>
          <w:szCs w:val="28"/>
        </w:rPr>
        <w:t>年财政拨款“三公”经费数为0.00万元，其中：因公出国（境）费0.00万元，公务用车购置费0.00万元，公务用车运行费0.00万元，公务接待费0.00万元。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年财政拨款“三公”经费预算比上年预算增加0.00万元，增长0.00%，其中：因公出国（境）费增加0.00万元，增长0.00%，主要原因是</w:t>
      </w:r>
      <w:bookmarkStart w:id="0" w:name="_GoBack"/>
      <w:bookmarkEnd w:id="0"/>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年均未安排因公出国（境）费用</w:t>
      </w:r>
      <w:r>
        <w:rPr>
          <w:rFonts w:hint="eastAsia" w:ascii="仿宋" w:hAnsi="微软雅黑" w:eastAsia="仿宋"/>
          <w:sz w:val="28"/>
          <w:szCs w:val="28"/>
          <w:lang w:eastAsia="zh-CN"/>
        </w:rPr>
        <w:t>预算</w:t>
      </w:r>
      <w:r>
        <w:rPr>
          <w:rFonts w:hint="eastAsia" w:ascii="仿宋" w:hAnsi="微软雅黑" w:eastAsia="仿宋"/>
          <w:sz w:val="28"/>
          <w:szCs w:val="28"/>
        </w:rPr>
        <w:t>；公务用车购置费增加0.00万元，增长0.00%，主要原因是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年均未安排公务用车购置</w:t>
      </w:r>
      <w:r>
        <w:rPr>
          <w:rFonts w:hint="eastAsia" w:ascii="仿宋" w:hAnsi="微软雅黑" w:eastAsia="仿宋"/>
          <w:sz w:val="28"/>
          <w:szCs w:val="28"/>
          <w:lang w:val="en-US" w:eastAsia="zh-CN"/>
        </w:rPr>
        <w:t>费预算</w:t>
      </w:r>
      <w:r>
        <w:rPr>
          <w:rFonts w:hint="eastAsia" w:ascii="仿宋" w:hAnsi="微软雅黑" w:eastAsia="仿宋"/>
          <w:sz w:val="28"/>
          <w:szCs w:val="28"/>
        </w:rPr>
        <w:t>；公务用车运行费增加0.00万元，增长0.00%，主要原因是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年均未安排公务用车运行维护费</w:t>
      </w:r>
      <w:r>
        <w:rPr>
          <w:rFonts w:hint="eastAsia" w:ascii="仿宋" w:hAnsi="微软雅黑" w:eastAsia="仿宋"/>
          <w:sz w:val="28"/>
          <w:szCs w:val="28"/>
          <w:lang w:eastAsia="zh-CN"/>
        </w:rPr>
        <w:t>预算</w:t>
      </w:r>
      <w:r>
        <w:rPr>
          <w:rFonts w:hint="eastAsia" w:ascii="仿宋" w:hAnsi="微软雅黑" w:eastAsia="仿宋"/>
          <w:sz w:val="28"/>
          <w:szCs w:val="28"/>
        </w:rPr>
        <w:t>；公务接待费增加0.00万元，增长0.00%，主要原因是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年均未安排公务接待费</w:t>
      </w:r>
      <w:r>
        <w:rPr>
          <w:rFonts w:hint="eastAsia" w:ascii="仿宋" w:hAnsi="微软雅黑" w:eastAsia="仿宋"/>
          <w:sz w:val="28"/>
          <w:szCs w:val="28"/>
          <w:lang w:eastAsia="zh-CN"/>
        </w:rPr>
        <w:t>预算</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关于额敏县额敏河滨河建设服务中心</w:t>
      </w:r>
      <w:r>
        <w:rPr>
          <w:rFonts w:hint="eastAsia" w:ascii="仿宋" w:hAnsi="华文楷体" w:eastAsia="仿宋"/>
          <w:sz w:val="28"/>
          <w:szCs w:val="28"/>
          <w:lang w:eastAsia="zh-CN"/>
        </w:rPr>
        <w:t>2026</w:t>
      </w:r>
      <w:r>
        <w:rPr>
          <w:rFonts w:hint="eastAsia" w:ascii="仿宋" w:hAnsi="华文楷体" w:eastAsia="仿宋"/>
          <w:sz w:val="28"/>
          <w:szCs w:val="28"/>
        </w:rPr>
        <w:t>年上年结转结余预算情况说明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额敏县额敏河滨河建设管理局</w:t>
      </w:r>
      <w:r>
        <w:rPr>
          <w:rFonts w:hint="eastAsia" w:ascii="仿宋" w:hAnsi="微软雅黑" w:eastAsia="仿宋"/>
          <w:sz w:val="28"/>
          <w:szCs w:val="28"/>
          <w:lang w:eastAsia="zh-CN"/>
        </w:rPr>
        <w:t>2026</w:t>
      </w:r>
      <w:r>
        <w:rPr>
          <w:rFonts w:hint="eastAsia" w:ascii="仿宋" w:hAnsi="微软雅黑" w:eastAsia="仿宋"/>
          <w:sz w:val="28"/>
          <w:szCs w:val="28"/>
        </w:rPr>
        <w:t>年没有上年结转结余预算安排的支出，上年结转结余情况明细表为空表。</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额敏县额敏河滨河建设管理局</w:t>
      </w:r>
      <w:r>
        <w:rPr>
          <w:rFonts w:hint="eastAsia" w:ascii="仿宋" w:hAnsi="微软雅黑" w:eastAsia="仿宋"/>
          <w:sz w:val="28"/>
          <w:szCs w:val="28"/>
          <w:lang w:eastAsia="zh-CN"/>
        </w:rPr>
        <w:t>2026</w:t>
      </w:r>
      <w:r>
        <w:rPr>
          <w:rFonts w:hint="eastAsia" w:ascii="仿宋" w:hAnsi="微软雅黑" w:eastAsia="仿宋"/>
          <w:sz w:val="28"/>
          <w:szCs w:val="28"/>
        </w:rPr>
        <w:t>年的机关运行经费财政拨款预算16.89万元，比上年预算增加0.12万元，增长0.72%，主要原因是</w:t>
      </w:r>
      <w:r>
        <w:rPr>
          <w:rFonts w:hint="eastAsia" w:ascii="仿宋" w:hAnsi="微软雅黑" w:eastAsia="仿宋"/>
          <w:sz w:val="28"/>
          <w:szCs w:val="28"/>
          <w:lang w:eastAsia="zh-CN"/>
        </w:rPr>
        <w:t>2026</w:t>
      </w:r>
      <w:r>
        <w:rPr>
          <w:rFonts w:hint="eastAsia" w:ascii="仿宋" w:hAnsi="微软雅黑" w:eastAsia="仿宋"/>
          <w:sz w:val="28"/>
          <w:szCs w:val="28"/>
        </w:rPr>
        <w:t>年基本工资上调，在职人员工会经费与福利费增加，退休人员福利费增加</w:t>
      </w:r>
      <w:r>
        <w:rPr>
          <w:rFonts w:hint="eastAsia" w:ascii="仿宋" w:hAnsi="微软雅黑" w:eastAsia="仿宋"/>
          <w:sz w:val="28"/>
          <w:szCs w:val="28"/>
          <w:lang w:eastAsia="zh-CN"/>
        </w:rPr>
        <w:t>，</w:t>
      </w:r>
      <w:r>
        <w:rPr>
          <w:rFonts w:hint="eastAsia" w:ascii="仿宋" w:hAnsi="微软雅黑" w:eastAsia="仿宋"/>
          <w:sz w:val="28"/>
          <w:szCs w:val="28"/>
          <w:highlight w:val="none"/>
          <w:lang w:val="en-US" w:eastAsia="zh-CN"/>
        </w:rPr>
        <w:t>所以预算较上年增加</w:t>
      </w:r>
      <w:r>
        <w:rPr>
          <w:rFonts w:hint="eastAsia" w:ascii="仿宋" w:hAnsi="微软雅黑" w:eastAsia="仿宋"/>
          <w:sz w:val="28"/>
          <w:szCs w:val="28"/>
        </w:rPr>
        <w:t>。</w:t>
      </w:r>
    </w:p>
    <w:p>
      <w:pPr>
        <w:pStyle w:val="4"/>
        <w:numPr>
          <w:ilvl w:val="0"/>
          <w:numId w:val="3"/>
        </w:numPr>
        <w:spacing w:before="0" w:after="0" w:line="560" w:lineRule="exact"/>
        <w:ind w:left="0" w:firstLine="562" w:firstLineChars="201"/>
        <w:rPr>
          <w:rFonts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lang w:eastAsia="zh-CN"/>
        </w:rPr>
        <w:t>2026</w:t>
      </w:r>
      <w:r>
        <w:rPr>
          <w:rFonts w:hint="eastAsia" w:ascii="仿宋" w:hAnsi="微软雅黑" w:eastAsia="仿宋"/>
          <w:sz w:val="28"/>
          <w:szCs w:val="28"/>
        </w:rPr>
        <w:t>年，额敏县额敏河滨河建设管理局政府采购预算</w:t>
      </w:r>
      <w:r>
        <w:rPr>
          <w:rFonts w:hint="eastAsia" w:ascii="仿宋" w:hAnsi="微软雅黑" w:eastAsia="仿宋"/>
          <w:sz w:val="28"/>
          <w:szCs w:val="28"/>
          <w:highlight w:val="none"/>
        </w:rPr>
        <w:t>15.86</w:t>
      </w:r>
      <w:r>
        <w:rPr>
          <w:rFonts w:hint="eastAsia" w:ascii="仿宋" w:hAnsi="微软雅黑" w:eastAsia="仿宋"/>
          <w:sz w:val="28"/>
          <w:szCs w:val="28"/>
        </w:rPr>
        <w:t>万元，其中：政府采购货物预</w:t>
      </w:r>
      <w:r>
        <w:rPr>
          <w:rFonts w:hint="eastAsia" w:ascii="仿宋" w:hAnsi="微软雅黑" w:eastAsia="仿宋"/>
          <w:sz w:val="28"/>
          <w:szCs w:val="28"/>
          <w:highlight w:val="none"/>
        </w:rPr>
        <w:t>算10.4</w:t>
      </w:r>
      <w:r>
        <w:rPr>
          <w:rFonts w:hint="eastAsia" w:ascii="仿宋" w:hAnsi="微软雅黑" w:eastAsia="仿宋"/>
          <w:sz w:val="28"/>
          <w:szCs w:val="28"/>
          <w:highlight w:val="none"/>
          <w:lang w:val="en-US" w:eastAsia="zh-CN"/>
        </w:rPr>
        <w:t>6</w:t>
      </w:r>
      <w:r>
        <w:rPr>
          <w:rFonts w:hint="eastAsia" w:ascii="仿宋" w:hAnsi="微软雅黑" w:eastAsia="仿宋"/>
          <w:sz w:val="28"/>
          <w:szCs w:val="28"/>
          <w:highlight w:val="none"/>
        </w:rPr>
        <w:t>万元，政府采购工程预算0.00万元，政府采购服务预算5.40万元。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年，额敏县额敏河滨河建设管理局面向中小企业预留政府采购项目预算金额15.86万元，小微企业预留政府采购项目预算金额15.86万元。</w:t>
      </w:r>
    </w:p>
    <w:p>
      <w:pPr>
        <w:pStyle w:val="4"/>
        <w:numPr>
          <w:ilvl w:val="0"/>
          <w:numId w:val="3"/>
        </w:numPr>
        <w:spacing w:before="0" w:after="0" w:line="560" w:lineRule="exact"/>
        <w:ind w:left="0" w:firstLine="562" w:firstLineChars="201"/>
        <w:rPr>
          <w:rFonts w:ascii="楷体" w:eastAsia="楷体"/>
          <w:sz w:val="28"/>
          <w:szCs w:val="28"/>
        </w:rPr>
      </w:pPr>
      <w:r>
        <w:rPr>
          <w:rFonts w:ascii="楷体" w:eastAsia="楷体"/>
          <w:sz w:val="28"/>
          <w:szCs w:val="28"/>
        </w:rPr>
        <w:t>国有资产占用使用情况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截至</w:t>
      </w:r>
      <w:r>
        <w:rPr>
          <w:rFonts w:hint="eastAsia" w:ascii="仿宋" w:hAnsi="微软雅黑" w:eastAsia="仿宋"/>
          <w:sz w:val="28"/>
          <w:szCs w:val="28"/>
          <w:lang w:eastAsia="zh-CN"/>
        </w:rPr>
        <w:t>2025</w:t>
      </w:r>
      <w:r>
        <w:rPr>
          <w:rFonts w:hint="eastAsia" w:ascii="仿宋" w:hAnsi="微软雅黑" w:eastAsia="仿宋"/>
          <w:sz w:val="28"/>
          <w:szCs w:val="28"/>
        </w:rPr>
        <w:t>年底，额敏县额敏河滨河建设管理局占用使用国有资产总体情况为：</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1.房屋158.70平方米，价值48.18万元。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2.车辆1辆，价值7.88万元；其中：一般公务用车0辆，价值0.00万元；执法执勤用车0辆，价值0.00万元；其他车辆1辆，价值7.88万元。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3.办公家具价值12.42万元。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4.其他资产价值142.71万元。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部门价值50万元以上大型设备0台，部门价值100万元以上大型设备0台。</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年部门预算未安排购置车辆经费，安排购置50万元以上大型设备0台，单位价值100万元以上大型设备0台。</w:t>
      </w:r>
    </w:p>
    <w:p>
      <w:pPr>
        <w:pStyle w:val="4"/>
        <w:numPr>
          <w:ilvl w:val="0"/>
          <w:numId w:val="3"/>
        </w:numPr>
        <w:spacing w:before="0" w:after="0" w:line="560" w:lineRule="exact"/>
        <w:ind w:left="0" w:firstLine="562" w:firstLineChars="201"/>
        <w:rPr>
          <w:rFonts w:ascii="楷体" w:eastAsia="楷体"/>
          <w:sz w:val="28"/>
          <w:szCs w:val="28"/>
        </w:rPr>
      </w:pPr>
      <w:r>
        <w:rPr>
          <w:rFonts w:ascii="楷体" w:eastAsia="楷体"/>
          <w:sz w:val="28"/>
          <w:szCs w:val="28"/>
        </w:rPr>
        <w:t>预算绩效情况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年，本部门预算绩效管理整体预算绩效目标1个，涉及预算金额255.2</w:t>
      </w:r>
      <w:r>
        <w:rPr>
          <w:rFonts w:hint="eastAsia" w:ascii="仿宋" w:hAnsi="微软雅黑" w:eastAsia="仿宋"/>
          <w:sz w:val="28"/>
          <w:szCs w:val="28"/>
          <w:lang w:val="en-US" w:eastAsia="zh-CN"/>
        </w:rPr>
        <w:t>2</w:t>
      </w:r>
      <w:r>
        <w:rPr>
          <w:rFonts w:hint="eastAsia" w:ascii="仿宋" w:hAnsi="微软雅黑" w:eastAsia="仿宋"/>
          <w:sz w:val="28"/>
          <w:szCs w:val="28"/>
        </w:rPr>
        <w:t>万元；当年预算安排项目共0个，其中：财政拨款项目涉及预算金额0.00万元；非财政拨款项目涉及预算金额0.00万元。具体情况见下表：</w:t>
      </w:r>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额敏县额敏河滨河建设服务中心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张陆</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13899371816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自滨河公园建成</w:t>
            </w:r>
            <w:r>
              <w:rPr>
                <w:rFonts w:hint="eastAsia"/>
                <w:color w:val="000000"/>
                <w:sz w:val="18"/>
                <w:szCs w:val="18"/>
                <w:highlight w:val="none"/>
              </w:rPr>
              <w:t>后，本</w:t>
            </w:r>
            <w:r>
              <w:rPr>
                <w:rFonts w:hint="eastAsia"/>
                <w:color w:val="000000"/>
                <w:sz w:val="18"/>
                <w:szCs w:val="18"/>
                <w:highlight w:val="none"/>
                <w:lang w:eastAsia="zh-CN"/>
              </w:rPr>
              <w:t>部门</w:t>
            </w:r>
            <w:r>
              <w:rPr>
                <w:rFonts w:hint="eastAsia"/>
                <w:color w:val="000000"/>
                <w:sz w:val="18"/>
                <w:szCs w:val="18"/>
                <w:highlight w:val="none"/>
              </w:rPr>
              <w:t>主要负责额敏河城区段沿河两岸的工程建筑和景点的管理、维护工作</w:t>
            </w:r>
            <w:r>
              <w:rPr>
                <w:rFonts w:hint="eastAsia"/>
                <w:color w:val="000000"/>
                <w:sz w:val="18"/>
                <w:szCs w:val="18"/>
                <w:highlight w:val="none"/>
                <w:lang w:eastAsia="zh-CN"/>
              </w:rPr>
              <w:t>；</w:t>
            </w:r>
            <w:r>
              <w:rPr>
                <w:rFonts w:hint="eastAsia"/>
                <w:color w:val="000000"/>
                <w:sz w:val="18"/>
                <w:szCs w:val="18"/>
                <w:highlight w:val="none"/>
              </w:rPr>
              <w:t>对建管范围内的</w:t>
            </w:r>
            <w:r>
              <w:rPr>
                <w:rFonts w:hint="eastAsia"/>
                <w:color w:val="000000"/>
                <w:sz w:val="18"/>
                <w:szCs w:val="18"/>
              </w:rPr>
              <w:t>违法违规行为按相关规定予以处置</w:t>
            </w:r>
            <w:r>
              <w:rPr>
                <w:rFonts w:hint="eastAsia"/>
                <w:color w:val="000000"/>
                <w:sz w:val="18"/>
                <w:szCs w:val="18"/>
                <w:lang w:eastAsia="zh-CN"/>
              </w:rPr>
              <w:t>；</w:t>
            </w:r>
            <w:r>
              <w:rPr>
                <w:rFonts w:hint="eastAsia"/>
                <w:color w:val="000000"/>
                <w:sz w:val="18"/>
                <w:szCs w:val="18"/>
              </w:rPr>
              <w:t>负责管区内的法规宣传工作</w:t>
            </w:r>
            <w:r>
              <w:rPr>
                <w:rFonts w:hint="eastAsia"/>
                <w:color w:val="000000"/>
                <w:sz w:val="18"/>
                <w:szCs w:val="18"/>
                <w:lang w:eastAsia="zh-CN"/>
              </w:rPr>
              <w:t>，</w:t>
            </w:r>
            <w:r>
              <w:rPr>
                <w:rFonts w:hint="eastAsia"/>
                <w:color w:val="000000"/>
                <w:sz w:val="18"/>
                <w:szCs w:val="18"/>
              </w:rPr>
              <w:t>合理开发利用管区内的资源</w:t>
            </w:r>
            <w:r>
              <w:rPr>
                <w:rFonts w:hint="eastAsia"/>
                <w:color w:val="000000"/>
                <w:sz w:val="18"/>
                <w:szCs w:val="18"/>
                <w:lang w:eastAsia="zh-CN"/>
              </w:rPr>
              <w:t>；</w:t>
            </w:r>
            <w:r>
              <w:rPr>
                <w:rFonts w:hint="eastAsia"/>
                <w:color w:val="000000"/>
                <w:sz w:val="18"/>
                <w:szCs w:val="18"/>
              </w:rPr>
              <w:t>建立健全设施、绿化、环境卫生等管理的档案资料和制度建立</w:t>
            </w:r>
            <w:r>
              <w:rPr>
                <w:rFonts w:hint="eastAsia"/>
                <w:color w:val="000000"/>
                <w:sz w:val="18"/>
                <w:szCs w:val="18"/>
                <w:lang w:eastAsia="zh-CN"/>
              </w:rPr>
              <w:t>；</w:t>
            </w:r>
            <w:r>
              <w:rPr>
                <w:rFonts w:hint="eastAsia"/>
                <w:color w:val="000000"/>
                <w:sz w:val="18"/>
                <w:szCs w:val="18"/>
              </w:rPr>
              <w:t>管区内服务项目的准入制度</w:t>
            </w:r>
            <w:r>
              <w:rPr>
                <w:rFonts w:hint="eastAsia"/>
                <w:color w:val="000000"/>
                <w:sz w:val="18"/>
                <w:szCs w:val="18"/>
                <w:lang w:eastAsia="zh-CN"/>
              </w:rPr>
              <w:t>，</w:t>
            </w:r>
            <w:r>
              <w:rPr>
                <w:rFonts w:hint="eastAsia"/>
                <w:color w:val="000000"/>
                <w:sz w:val="18"/>
                <w:szCs w:val="18"/>
              </w:rPr>
              <w:t>加强文明建设</w:t>
            </w:r>
            <w:r>
              <w:rPr>
                <w:rFonts w:hint="eastAsia"/>
                <w:color w:val="000000"/>
                <w:sz w:val="18"/>
                <w:szCs w:val="18"/>
                <w:lang w:eastAsia="zh-CN"/>
              </w:rPr>
              <w:t>；</w:t>
            </w:r>
            <w:r>
              <w:rPr>
                <w:rFonts w:hint="eastAsia"/>
                <w:color w:val="000000"/>
                <w:sz w:val="18"/>
                <w:szCs w:val="18"/>
              </w:rPr>
              <w:t>督查各</w:t>
            </w:r>
            <w:r>
              <w:rPr>
                <w:rFonts w:hint="eastAsia"/>
                <w:color w:val="000000"/>
                <w:sz w:val="18"/>
                <w:szCs w:val="18"/>
                <w:lang w:eastAsia="zh-CN"/>
              </w:rPr>
              <w:t>部门</w:t>
            </w:r>
            <w:r>
              <w:rPr>
                <w:rFonts w:hint="eastAsia"/>
                <w:color w:val="000000"/>
                <w:sz w:val="18"/>
                <w:szCs w:val="18"/>
              </w:rPr>
              <w:t>滨河公园责任区积雪清扫工作，制定防洪预案，升坝、放闸蓄水工作覆盖率，做好公园巡逻值班工作，承办县委</w:t>
            </w:r>
            <w:r>
              <w:rPr>
                <w:rFonts w:hint="eastAsia"/>
                <w:color w:val="000000"/>
                <w:sz w:val="18"/>
                <w:szCs w:val="18"/>
                <w:lang w:val="en-US" w:eastAsia="zh-CN"/>
              </w:rPr>
              <w:t>县</w:t>
            </w:r>
            <w:r>
              <w:rPr>
                <w:rFonts w:hint="eastAsia"/>
                <w:color w:val="000000"/>
                <w:sz w:val="18"/>
                <w:szCs w:val="18"/>
              </w:rPr>
              <w:t>政府交办的其他工作，创造一个美丽洁净安全的游玩环境。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rFonts w:hint="eastAsia" w:eastAsia="宋体"/>
                <w:sz w:val="18"/>
                <w:szCs w:val="18"/>
                <w:lang w:eastAsia="zh-CN"/>
              </w:rPr>
            </w:pPr>
            <w:r>
              <w:rPr>
                <w:rFonts w:hint="eastAsia"/>
                <w:sz w:val="18"/>
                <w:szCs w:val="18"/>
              </w:rPr>
              <w:t>255.2</w:t>
            </w:r>
            <w:r>
              <w:rPr>
                <w:rFonts w:hint="eastAsia"/>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督查各单位责任区积雪清扫工作数</w:t>
            </w:r>
          </w:p>
        </w:tc>
        <w:tc>
          <w:tcPr>
            <w:tcW w:w="1448" w:type="dxa"/>
            <w:gridSpan w:val="2"/>
            <w:shd w:val="clear" w:color="auto" w:fill="auto"/>
            <w:vAlign w:val="center"/>
          </w:tcPr>
          <w:p>
            <w:pPr>
              <w:jc w:val="center"/>
              <w:rPr>
                <w:sz w:val="18"/>
                <w:szCs w:val="18"/>
              </w:rPr>
            </w:pPr>
            <w:r>
              <w:rPr>
                <w:rFonts w:hint="eastAsia"/>
                <w:sz w:val="18"/>
                <w:szCs w:val="18"/>
              </w:rPr>
              <w:t>＞=3次</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滨河公园巡逻值班次数</w:t>
            </w:r>
          </w:p>
        </w:tc>
        <w:tc>
          <w:tcPr>
            <w:tcW w:w="1448" w:type="dxa"/>
            <w:gridSpan w:val="2"/>
            <w:shd w:val="clear" w:color="auto" w:fill="auto"/>
            <w:vAlign w:val="center"/>
          </w:tcPr>
          <w:p>
            <w:pPr>
              <w:jc w:val="center"/>
              <w:rPr>
                <w:sz w:val="18"/>
                <w:szCs w:val="18"/>
              </w:rPr>
            </w:pPr>
            <w:r>
              <w:rPr>
                <w:rFonts w:hint="eastAsia"/>
                <w:sz w:val="18"/>
                <w:szCs w:val="18"/>
              </w:rPr>
              <w:t>＞=360次</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滨河儿童乐园新增经营商投资个数</w:t>
            </w:r>
          </w:p>
        </w:tc>
        <w:tc>
          <w:tcPr>
            <w:tcW w:w="1448" w:type="dxa"/>
            <w:gridSpan w:val="2"/>
            <w:shd w:val="clear" w:color="auto" w:fill="auto"/>
            <w:vAlign w:val="center"/>
          </w:tcPr>
          <w:p>
            <w:pPr>
              <w:jc w:val="center"/>
              <w:rPr>
                <w:sz w:val="18"/>
                <w:szCs w:val="18"/>
              </w:rPr>
            </w:pPr>
            <w:r>
              <w:rPr>
                <w:rFonts w:hint="eastAsia"/>
                <w:sz w:val="18"/>
                <w:szCs w:val="18"/>
              </w:rPr>
              <w:t>＞=2个</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sz w:val="18"/>
                <w:szCs w:val="18"/>
              </w:rPr>
            </w:pPr>
            <w:r>
              <w:rPr>
                <w:rFonts w:hint="eastAsia"/>
                <w:sz w:val="18"/>
                <w:szCs w:val="18"/>
              </w:rPr>
              <w:t>社会效益</w:t>
            </w:r>
          </w:p>
        </w:tc>
        <w:tc>
          <w:tcPr>
            <w:tcW w:w="1559" w:type="dxa"/>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防洪预案、升坝、放闸蓄水工作覆盖率</w:t>
            </w:r>
          </w:p>
        </w:tc>
        <w:tc>
          <w:tcPr>
            <w:tcW w:w="1448"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25</w:t>
            </w:r>
          </w:p>
        </w:tc>
      </w:tr>
    </w:tbl>
    <w:p/>
    <w:p>
      <w:pPr>
        <w:pStyle w:val="4"/>
        <w:numPr>
          <w:ilvl w:val="0"/>
          <w:numId w:val="3"/>
        </w:numPr>
        <w:spacing w:before="0" w:after="0" w:line="560" w:lineRule="exact"/>
        <w:ind w:left="0" w:firstLine="562" w:firstLineChars="201"/>
        <w:rPr>
          <w:rFonts w:ascii="楷体" w:eastAsia="楷体"/>
          <w:sz w:val="28"/>
          <w:szCs w:val="28"/>
        </w:rPr>
      </w:pPr>
      <w:r>
        <w:rPr>
          <w:rFonts w:ascii="楷体" w:eastAsia="楷体"/>
          <w:sz w:val="28"/>
          <w:szCs w:val="28"/>
        </w:rPr>
        <w:t>其他需说明的事项</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本部门无其他需说明事项。</w:t>
      </w:r>
    </w:p>
    <w:p>
      <w:pPr>
        <w:pStyle w:val="2"/>
        <w:spacing w:before="156" w:beforeLines="50" w:after="156" w:afterLines="50" w:line="560" w:lineRule="exact"/>
        <w:jc w:val="center"/>
        <w:rPr>
          <w:rFonts w:ascii="黑体" w:eastAsia="黑体"/>
          <w:sz w:val="30"/>
          <w:szCs w:val="30"/>
        </w:rPr>
      </w:pPr>
      <w:r>
        <w:rPr>
          <w:rFonts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额敏县额敏河滨河建设服务中心</w:t>
      </w:r>
    </w:p>
    <w:p>
      <w:pPr>
        <w:spacing w:line="560" w:lineRule="exact"/>
        <w:jc w:val="right"/>
        <w:rPr>
          <w:rFonts w:ascii="仿宋" w:eastAsia="仿宋"/>
          <w:sz w:val="28"/>
          <w:szCs w:val="28"/>
        </w:rPr>
      </w:pPr>
      <w:r>
        <w:rPr>
          <w:rFonts w:hint="eastAsia" w:ascii="仿宋" w:hAnsi="CIDFont+F6" w:eastAsia="仿宋"/>
          <w:color w:val="000000"/>
          <w:sz w:val="28"/>
          <w:szCs w:val="28"/>
          <w:lang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rPr>
        <w:t>月1</w:t>
      </w:r>
      <w:r>
        <w:rPr>
          <w:rFonts w:hint="eastAsia" w:ascii="仿宋" w:hAnsi="CIDFont+F6" w:eastAsia="仿宋"/>
          <w:color w:val="000000"/>
          <w:sz w:val="28"/>
          <w:szCs w:val="28"/>
          <w:lang w:val="en-US" w:eastAsia="zh-CN"/>
        </w:rPr>
        <w:t>4</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82335"/>
    <w:multiLevelType w:val="multilevel"/>
    <w:tmpl w:val="03D8233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BCC1C0F"/>
    <w:multiLevelType w:val="multilevel"/>
    <w:tmpl w:val="1BCC1C0F"/>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E4DC6"/>
    <w:multiLevelType w:val="multilevel"/>
    <w:tmpl w:val="411E4DC6"/>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556DA"/>
    <w:rsid w:val="0A274419"/>
    <w:rsid w:val="13464185"/>
    <w:rsid w:val="1FFB21E3"/>
    <w:rsid w:val="39875E64"/>
    <w:rsid w:val="3F64762A"/>
    <w:rsid w:val="40362808"/>
    <w:rsid w:val="458B4835"/>
    <w:rsid w:val="4E1F1534"/>
    <w:rsid w:val="524E5F9C"/>
    <w:rsid w:val="55512EA9"/>
    <w:rsid w:val="566C4425"/>
    <w:rsid w:val="60F52EBC"/>
    <w:rsid w:val="6B1A7998"/>
    <w:rsid w:val="6E2E76DB"/>
    <w:rsid w:val="6EAF1DCD"/>
    <w:rsid w:val="7AB823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uiPriority w:val="0"/>
    <w:pPr>
      <w:keepNext/>
      <w:keepLines/>
      <w:spacing w:before="340" w:after="330" w:line="578" w:lineRule="auto"/>
      <w:outlineLvl w:val="0"/>
    </w:pPr>
    <w:rPr>
      <w:rFonts w:ascii="Times New Roman" w:hAnsi="Times New Roman"/>
      <w:b/>
      <w:kern w:val="44"/>
      <w:sz w:val="44"/>
      <w:szCs w:val="44"/>
    </w:rPr>
  </w:style>
  <w:style w:type="paragraph" w:styleId="3">
    <w:name w:val="heading 2"/>
    <w:basedOn w:val="1"/>
    <w:next w:val="1"/>
    <w:link w:val="12"/>
    <w:qFormat/>
    <w:uiPriority w:val="0"/>
    <w:pPr>
      <w:keepNext/>
      <w:keepLines/>
      <w:spacing w:before="260" w:after="260" w:line="416" w:lineRule="auto"/>
      <w:outlineLvl w:val="1"/>
    </w:pPr>
    <w:rPr>
      <w:rFonts w:ascii="Cambria" w:hAnsi="Cambria"/>
      <w:b/>
      <w:sz w:val="32"/>
      <w:szCs w:val="32"/>
    </w:rPr>
  </w:style>
  <w:style w:type="paragraph" w:styleId="4">
    <w:name w:val="heading 3"/>
    <w:basedOn w:val="1"/>
    <w:next w:val="1"/>
    <w:link w:val="13"/>
    <w:qFormat/>
    <w:uiPriority w:val="0"/>
    <w:pPr>
      <w:keepNext/>
      <w:keepLines/>
      <w:spacing w:before="260" w:after="260" w:line="416" w:lineRule="auto"/>
      <w:outlineLvl w:val="2"/>
    </w:pPr>
    <w:rPr>
      <w:rFonts w:ascii="Times New Roman" w:hAnsi="Times New Roman"/>
      <w:b/>
      <w:sz w:val="32"/>
      <w:szCs w:val="32"/>
    </w:rPr>
  </w:style>
  <w:style w:type="character" w:default="1" w:styleId="9">
    <w:name w:val="Default Paragraph Font"/>
    <w:qFormat/>
    <w:uiPriority w:val="0"/>
  </w:style>
  <w:style w:type="table" w:default="1" w:styleId="7">
    <w:name w:val="Normal Table"/>
    <w:qFormat/>
    <w:uiPriority w:val="0"/>
    <w:rPr>
      <w:lang w:val="en-US" w:eastAsia="zh-CN" w:bidi="ar-SA"/>
    </w:rPr>
    <w:tblPr>
      <w:tblLayout w:type="fixed"/>
      <w:tblCellMar>
        <w:top w:w="0" w:type="dxa"/>
        <w:left w:w="108" w:type="dxa"/>
        <w:bottom w:w="0" w:type="dxa"/>
        <w:right w:w="108" w:type="dxa"/>
      </w:tblCellMar>
    </w:tblPr>
  </w:style>
  <w:style w:type="paragraph" w:styleId="5">
    <w:name w:val="footer"/>
    <w:basedOn w:val="1"/>
    <w:link w:val="15"/>
    <w:qFormat/>
    <w:uiPriority w:val="0"/>
    <w:pPr>
      <w:snapToGrid w:val="0"/>
      <w:jc w:val="left"/>
    </w:pPr>
    <w:rPr>
      <w:sz w:val="18"/>
      <w:szCs w:val="18"/>
    </w:rPr>
  </w:style>
  <w:style w:type="paragraph" w:styleId="6">
    <w:name w:val="header"/>
    <w:basedOn w:val="1"/>
    <w:link w:val="14"/>
    <w:qFormat/>
    <w:uiPriority w:val="0"/>
    <w:pPr>
      <w:pBdr>
        <w:bottom w:val="single" w:color="auto" w:sz="6" w:space="1"/>
      </w:pBdr>
      <w:snapToGrid w:val="0"/>
      <w:jc w:val="center"/>
    </w:pPr>
    <w:rPr>
      <w:sz w:val="18"/>
      <w:szCs w:val="18"/>
    </w:rPr>
  </w:style>
  <w:style w:type="table" w:styleId="8">
    <w:name w:val="Table Grid"/>
    <w:basedOn w:val="7"/>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List Paragraph"/>
    <w:basedOn w:val="1"/>
    <w:qFormat/>
    <w:uiPriority w:val="0"/>
    <w:pPr>
      <w:ind w:firstLine="420" w:firstLineChars="200"/>
    </w:pPr>
  </w:style>
  <w:style w:type="character" w:customStyle="1" w:styleId="11">
    <w:name w:val="标题 1 Char"/>
    <w:link w:val="2"/>
    <w:qFormat/>
    <w:uiPriority w:val="0"/>
    <w:rPr>
      <w:rFonts w:ascii="Times New Roman" w:hAnsi="Times New Roman"/>
      <w:b/>
      <w:kern w:val="44"/>
      <w:sz w:val="44"/>
      <w:szCs w:val="44"/>
    </w:rPr>
  </w:style>
  <w:style w:type="character" w:customStyle="1" w:styleId="12">
    <w:name w:val="标题 2 Char"/>
    <w:link w:val="3"/>
    <w:qFormat/>
    <w:uiPriority w:val="0"/>
    <w:rPr>
      <w:rFonts w:ascii="Cambria" w:hAnsi="Cambria"/>
      <w:b/>
      <w:kern w:val="2"/>
      <w:sz w:val="32"/>
      <w:szCs w:val="32"/>
    </w:rPr>
  </w:style>
  <w:style w:type="character" w:customStyle="1" w:styleId="13">
    <w:name w:val="标题 3 Char"/>
    <w:link w:val="4"/>
    <w:qFormat/>
    <w:uiPriority w:val="0"/>
    <w:rPr>
      <w:rFonts w:ascii="Times New Roman" w:hAnsi="Times New Roman"/>
      <w:b/>
      <w:kern w:val="2"/>
      <w:sz w:val="32"/>
      <w:szCs w:val="32"/>
    </w:rPr>
  </w:style>
  <w:style w:type="character" w:customStyle="1" w:styleId="14">
    <w:name w:val="页眉 Char"/>
    <w:link w:val="6"/>
    <w:qFormat/>
    <w:uiPriority w:val="0"/>
    <w:rPr>
      <w:kern w:val="2"/>
      <w:sz w:val="18"/>
      <w:szCs w:val="18"/>
    </w:rPr>
  </w:style>
  <w:style w:type="character" w:customStyle="1" w:styleId="15">
    <w:name w:val="页脚 Char"/>
    <w:link w:val="5"/>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23</Pages>
  <Words>2336</Words>
  <Characters>2875</Characters>
  <Lines>40</Lines>
  <Paragraphs>11</Paragraphs>
  <TotalTime>15</TotalTime>
  <ScaleCrop>false</ScaleCrop>
  <LinksUpToDate>false</LinksUpToDate>
  <CharactersWithSpaces>3076</CharactersWithSpaces>
  <Application>WPS Office_11.8.2.8411_F1E327BC-269C-435d-A152-05C5408002CA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Administrator</cp:lastModifiedBy>
  <dcterms:modified xsi:type="dcterms:W3CDTF">2026-02-14T05:05:40Z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5F7512F7203E44748284234674A7368C_13</vt:lpwstr>
  </property>
</Properties>
</file>