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auto"/>
          <w:sz w:val="44"/>
          <w:szCs w:val="44"/>
          <w:highlight w:val="none"/>
          <w:lang w:eastAsia="zh-CN"/>
        </w:rPr>
      </w:pPr>
    </w:p>
    <w:p>
      <w:pPr>
        <w:jc w:val="center"/>
        <w:rPr>
          <w:rFonts w:hint="eastAsia" w:ascii="黑体" w:hAnsi="ArialUnicodeMS" w:eastAsia="黑体"/>
          <w:color w:val="auto"/>
          <w:sz w:val="44"/>
          <w:szCs w:val="44"/>
          <w:highlight w:val="none"/>
        </w:rPr>
      </w:pPr>
    </w:p>
    <w:p>
      <w:pPr>
        <w:jc w:val="center"/>
        <w:rPr>
          <w:rFonts w:hint="eastAsia" w:ascii="黑体" w:hAnsi="ArialUnicodeMS" w:eastAsia="黑体"/>
          <w:color w:val="auto"/>
          <w:sz w:val="44"/>
          <w:szCs w:val="44"/>
          <w:highlight w:val="none"/>
        </w:rPr>
      </w:pPr>
    </w:p>
    <w:p>
      <w:pPr>
        <w:jc w:val="center"/>
        <w:rPr>
          <w:rFonts w:hint="eastAsia" w:ascii="黑体" w:hAnsi="ArialUnicodeMS" w:eastAsia="黑体"/>
          <w:color w:val="auto"/>
          <w:sz w:val="44"/>
          <w:szCs w:val="44"/>
          <w:highlight w:val="none"/>
        </w:rPr>
      </w:pPr>
    </w:p>
    <w:p>
      <w:pPr>
        <w:jc w:val="center"/>
        <w:rPr>
          <w:rFonts w:hint="eastAsia" w:ascii="黑体" w:hAnsi="ArialUnicodeMS" w:eastAsia="黑体"/>
          <w:color w:val="auto"/>
          <w:sz w:val="44"/>
          <w:szCs w:val="44"/>
          <w:highlight w:val="none"/>
        </w:rPr>
      </w:pPr>
      <w:r>
        <w:rPr>
          <w:rFonts w:hint="eastAsia" w:ascii="黑体" w:hAnsi="ArialUnicodeMS" w:eastAsia="黑体"/>
          <w:color w:val="auto"/>
          <w:sz w:val="44"/>
          <w:szCs w:val="44"/>
          <w:highlight w:val="none"/>
        </w:rPr>
        <w:t>额敏县医疗保障局</w:t>
      </w:r>
    </w:p>
    <w:p>
      <w:pPr>
        <w:jc w:val="center"/>
        <w:rPr>
          <w:rFonts w:hint="eastAsia" w:ascii="黑体" w:hAnsi="ArialUnicodeMS" w:eastAsia="黑体"/>
          <w:color w:val="auto"/>
          <w:sz w:val="44"/>
          <w:szCs w:val="44"/>
          <w:highlight w:val="none"/>
        </w:rPr>
      </w:pPr>
    </w:p>
    <w:p>
      <w:pPr>
        <w:jc w:val="center"/>
        <w:rPr>
          <w:rFonts w:hint="eastAsia" w:ascii="黑体" w:hAnsi="ArialUnicodeMS" w:eastAsia="黑体"/>
          <w:color w:val="auto"/>
          <w:sz w:val="44"/>
          <w:szCs w:val="44"/>
          <w:highlight w:val="none"/>
        </w:rPr>
      </w:pPr>
      <w:r>
        <w:rPr>
          <w:rFonts w:hint="eastAsia" w:ascii="黑体" w:hAnsi="ArialUnicodeMS" w:eastAsia="黑体"/>
          <w:color w:val="auto"/>
          <w:sz w:val="44"/>
          <w:szCs w:val="44"/>
          <w:highlight w:val="none"/>
          <w:lang w:eastAsia="zh-CN"/>
        </w:rPr>
        <w:t>2026</w:t>
      </w:r>
      <w:r>
        <w:rPr>
          <w:rFonts w:hint="eastAsia" w:ascii="黑体" w:hAnsi="ArialUnicodeMS" w:eastAsia="黑体"/>
          <w:color w:val="auto"/>
          <w:sz w:val="44"/>
          <w:szCs w:val="44"/>
          <w:highlight w:val="none"/>
        </w:rPr>
        <w:t>年部门预算公开</w:t>
      </w:r>
    </w:p>
    <w:p>
      <w:pPr>
        <w:jc w:val="center"/>
        <w:rPr>
          <w:rFonts w:ascii="黑体" w:eastAsia="黑体"/>
          <w:color w:val="auto"/>
          <w:sz w:val="36"/>
          <w:szCs w:val="36"/>
          <w:highlight w:val="none"/>
        </w:rPr>
      </w:pPr>
      <w:r>
        <w:rPr>
          <w:rFonts w:hint="eastAsia" w:ascii="ArialUnicodeMS" w:hAnsi="ArialUnicodeMS"/>
          <w:color w:val="auto"/>
          <w:sz w:val="44"/>
          <w:szCs w:val="44"/>
          <w:highlight w:val="none"/>
        </w:rPr>
        <w:br w:type="page"/>
      </w:r>
      <w:r>
        <w:rPr>
          <w:rFonts w:hint="eastAsia" w:ascii="黑体" w:eastAsia="黑体"/>
          <w:color w:val="auto"/>
          <w:sz w:val="36"/>
          <w:szCs w:val="36"/>
          <w:highlight w:val="none"/>
        </w:rPr>
        <w:t>目 录</w:t>
      </w:r>
    </w:p>
    <w:p>
      <w:pPr>
        <w:spacing w:line="560" w:lineRule="exact"/>
        <w:jc w:val="center"/>
        <w:rPr>
          <w:rFonts w:ascii="黑体" w:eastAsia="黑体"/>
          <w:color w:val="auto"/>
          <w:sz w:val="36"/>
          <w:szCs w:val="36"/>
          <w:highlight w:val="none"/>
        </w:rPr>
      </w:pPr>
    </w:p>
    <w:p>
      <w:pPr>
        <w:spacing w:line="560" w:lineRule="exact"/>
        <w:ind w:firstLine="562" w:firstLineChars="200"/>
        <w:jc w:val="left"/>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 xml:space="preserve">第一部分  </w:t>
      </w:r>
      <w:r>
        <w:rPr>
          <w:rFonts w:hint="eastAsia" w:ascii="仿宋" w:hAnsi="仿宋" w:eastAsia="仿宋"/>
          <w:b/>
          <w:color w:val="auto"/>
          <w:sz w:val="28"/>
          <w:szCs w:val="28"/>
          <w:highlight w:val="none"/>
          <w:lang w:eastAsia="zh-CN"/>
        </w:rPr>
        <w:t>2026</w:t>
      </w:r>
      <w:r>
        <w:rPr>
          <w:rFonts w:hint="eastAsia" w:ascii="仿宋" w:hAnsi="仿宋" w:eastAsia="仿宋"/>
          <w:b/>
          <w:color w:val="auto"/>
          <w:sz w:val="28"/>
          <w:szCs w:val="28"/>
          <w:highlight w:val="none"/>
        </w:rPr>
        <w:t>年部门概况</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一、 主要职能</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二、 机构设置及人员情况</w:t>
      </w:r>
    </w:p>
    <w:p>
      <w:pPr>
        <w:spacing w:line="560" w:lineRule="exact"/>
        <w:ind w:firstLine="562" w:firstLineChars="200"/>
        <w:jc w:val="left"/>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 xml:space="preserve">第二部分 </w:t>
      </w:r>
      <w:r>
        <w:rPr>
          <w:rFonts w:hint="eastAsia" w:ascii="仿宋" w:hAnsi="仿宋" w:eastAsia="仿宋"/>
          <w:b/>
          <w:color w:val="auto"/>
          <w:sz w:val="28"/>
          <w:szCs w:val="28"/>
          <w:highlight w:val="none"/>
          <w:lang w:eastAsia="zh-CN"/>
        </w:rPr>
        <w:t>2026</w:t>
      </w:r>
      <w:r>
        <w:rPr>
          <w:rFonts w:hint="eastAsia" w:ascii="仿宋" w:hAnsi="仿宋" w:eastAsia="仿宋"/>
          <w:b/>
          <w:color w:val="auto"/>
          <w:sz w:val="28"/>
          <w:szCs w:val="28"/>
          <w:highlight w:val="none"/>
        </w:rPr>
        <w:t>年部门预算公开表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一、 部门收支总体情况表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二、 部门收入总体情况表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三、 部门支出总体情况表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四、 财政拨款收支预算总体情况表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五、 一般公共预算支出情况表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六、 一般公共预算基本支出情况表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七、 一般公共预算项目支出情况表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八、 政府性基金预算支出情况表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九、 国有资本经营预算支出情况表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 财政拨款“三公”经费支出情况表</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十一、 上年结转结余情况明细表</w:t>
      </w:r>
    </w:p>
    <w:p>
      <w:pPr>
        <w:spacing w:line="560" w:lineRule="exact"/>
        <w:ind w:firstLine="562" w:firstLineChars="200"/>
        <w:jc w:val="left"/>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 xml:space="preserve">第三部分 </w:t>
      </w:r>
      <w:r>
        <w:rPr>
          <w:rFonts w:hint="eastAsia" w:ascii="仿宋" w:hAnsi="仿宋" w:eastAsia="仿宋"/>
          <w:b/>
          <w:color w:val="auto"/>
          <w:sz w:val="28"/>
          <w:szCs w:val="28"/>
          <w:highlight w:val="none"/>
          <w:lang w:eastAsia="zh-CN"/>
        </w:rPr>
        <w:t>2026</w:t>
      </w:r>
      <w:r>
        <w:rPr>
          <w:rFonts w:hint="eastAsia" w:ascii="仿宋" w:hAnsi="仿宋" w:eastAsia="仿宋"/>
          <w:b/>
          <w:color w:val="auto"/>
          <w:sz w:val="28"/>
          <w:szCs w:val="28"/>
          <w:highlight w:val="none"/>
        </w:rPr>
        <w:t>年部门预算情况说明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一、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年收支预算情况的总体说明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二、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年收入预算情况说明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三、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年支出预算情况说明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四、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年财政拨款收支预算情况的总体说明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五、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年一般公共预算当年拨款情况说明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六、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年一般公共预算基本支出情况说明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七、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年一般公共预算项目支出情况说明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八、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年政府性基金预算拨款情况说明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九、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年国有资本经营预算拨款情况说明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年财政拨款“三公”经费预算情况说明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十一、 关于额敏县医疗保障局</w:t>
      </w:r>
      <w:r>
        <w:rPr>
          <w:rFonts w:hint="eastAsia" w:ascii="仿宋" w:hAnsi="仿宋" w:eastAsia="仿宋"/>
          <w:color w:val="auto"/>
          <w:sz w:val="28"/>
          <w:szCs w:val="28"/>
          <w:highlight w:val="none"/>
          <w:lang w:eastAsia="zh-CN"/>
        </w:rPr>
        <w:t>2026</w:t>
      </w:r>
      <w:r>
        <w:rPr>
          <w:rFonts w:hint="eastAsia" w:ascii="仿宋" w:hAnsi="仿宋" w:eastAsia="仿宋"/>
          <w:color w:val="auto"/>
          <w:sz w:val="28"/>
          <w:szCs w:val="28"/>
          <w:highlight w:val="none"/>
        </w:rPr>
        <w:t>年上年结转结余预算情况说明</w:t>
      </w:r>
    </w:p>
    <w:p>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十二、 其他重要事项的情况说明</w:t>
      </w:r>
    </w:p>
    <w:p>
      <w:pPr>
        <w:spacing w:line="560" w:lineRule="exact"/>
        <w:ind w:firstLine="562" w:firstLineChars="200"/>
        <w:jc w:val="left"/>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第四部分 名词解释</w:t>
      </w:r>
    </w:p>
    <w:p>
      <w:pPr>
        <w:jc w:val="left"/>
        <w:rPr>
          <w:rFonts w:ascii="宋体" w:hAnsi="宋体"/>
          <w:color w:val="auto"/>
          <w:sz w:val="18"/>
          <w:szCs w:val="18"/>
          <w:highlight w:val="none"/>
        </w:rPr>
      </w:pPr>
    </w:p>
    <w:p>
      <w:pPr>
        <w:pStyle w:val="2"/>
        <w:spacing w:before="156" w:beforeLines="50" w:after="156" w:afterLines="50" w:line="560" w:lineRule="exact"/>
        <w:jc w:val="center"/>
        <w:rPr>
          <w:rFonts w:ascii="黑体" w:eastAsia="黑体"/>
          <w:color w:val="auto"/>
          <w:sz w:val="30"/>
          <w:szCs w:val="30"/>
          <w:highlight w:val="none"/>
        </w:rPr>
      </w:pPr>
      <w:r>
        <w:rPr>
          <w:rFonts w:ascii="黑体" w:eastAsia="黑体"/>
          <w:color w:val="auto"/>
          <w:sz w:val="30"/>
          <w:szCs w:val="30"/>
          <w:highlight w:val="none"/>
        </w:rPr>
        <w:br w:type="page"/>
      </w:r>
      <w:r>
        <w:rPr>
          <w:rFonts w:hint="eastAsia" w:ascii="黑体" w:eastAsia="黑体"/>
          <w:color w:val="auto"/>
          <w:sz w:val="30"/>
          <w:szCs w:val="30"/>
          <w:highlight w:val="none"/>
        </w:rPr>
        <w:t xml:space="preserve">第一部分  </w:t>
      </w:r>
      <w:r>
        <w:rPr>
          <w:rFonts w:hint="eastAsia" w:ascii="黑体" w:eastAsia="黑体"/>
          <w:color w:val="auto"/>
          <w:sz w:val="30"/>
          <w:szCs w:val="30"/>
          <w:highlight w:val="none"/>
          <w:lang w:eastAsia="zh-CN"/>
        </w:rPr>
        <w:t>2026</w:t>
      </w:r>
      <w:r>
        <w:rPr>
          <w:rFonts w:hint="eastAsia" w:ascii="黑体" w:eastAsia="黑体"/>
          <w:color w:val="auto"/>
          <w:sz w:val="30"/>
          <w:szCs w:val="30"/>
          <w:highlight w:val="none"/>
        </w:rPr>
        <w:t>年部门概况</w:t>
      </w:r>
    </w:p>
    <w:p>
      <w:pPr>
        <w:pStyle w:val="3"/>
        <w:numPr>
          <w:ilvl w:val="0"/>
          <w:numId w:val="1"/>
        </w:numPr>
        <w:spacing w:before="0" w:after="0" w:line="560" w:lineRule="exact"/>
        <w:ind w:left="0" w:firstLine="565" w:firstLineChars="201"/>
        <w:rPr>
          <w:rFonts w:hint="eastAsia" w:ascii="仿宋" w:hAnsi="仿宋" w:eastAsia="仿宋"/>
          <w:color w:val="auto"/>
          <w:sz w:val="28"/>
          <w:szCs w:val="28"/>
          <w:highlight w:val="none"/>
        </w:rPr>
      </w:pPr>
      <w:r>
        <w:rPr>
          <w:rFonts w:hint="eastAsia" w:ascii="仿宋" w:hAnsi="华文楷体" w:eastAsia="仿宋"/>
          <w:color w:val="auto"/>
          <w:sz w:val="28"/>
          <w:szCs w:val="28"/>
          <w:highlight w:val="none"/>
        </w:rPr>
        <w:t>主要职能</w:t>
      </w:r>
    </w:p>
    <w:p>
      <w:pPr>
        <w:pStyle w:val="8"/>
        <w:spacing w:line="560" w:lineRule="exact"/>
        <w:ind w:firstLine="56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一）贯彻实施国家和自治区、地区医疗保险、生育保险、医疗保障救助等医疗保障制度，落实自治区、地区医疗保障相关政策、规划和标准；执行自治区、地区医疗保险、人生意外伤害保险、大额医疗补助、公务员医疗补助、企事业单位补充医疗保险、离休人员和优抚对象医疗保障政策、管理办法。</w:t>
      </w:r>
    </w:p>
    <w:p>
      <w:pPr>
        <w:pStyle w:val="8"/>
        <w:spacing w:line="560" w:lineRule="exact"/>
        <w:ind w:firstLine="56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（二）贯彻落实自治区、地区医疗保障基金监督管理办法，建立健全医疗保障基金安全防控机制，落实推进医疗保障基金支付方式改革工作，编制全县医疗保障基金预决算草案。</w:t>
      </w:r>
    </w:p>
    <w:p>
      <w:pPr>
        <w:pStyle w:val="8"/>
        <w:spacing w:line="560" w:lineRule="exact"/>
        <w:ind w:firstLine="56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（三）贯彻执行地区医疗保障筹资和待遇政策，落实动态调整和区域调剂平衡机制。执行地区贯彻长期护理保险制度改革方案。</w:t>
      </w:r>
    </w:p>
    <w:p>
      <w:pPr>
        <w:pStyle w:val="8"/>
        <w:spacing w:line="560" w:lineRule="exact"/>
        <w:ind w:firstLine="56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四）执行地区药品、医用耗材价格和医疗服务项目、医疗服务设施收费等政策并监督实施，执行自治区制定的药品、医用耗材的招标采购政策并监督实施，建立市场主导的社会医药服务价格形成机制，执行自治区、地区医药服务价格信息监测和信息发布制度，指导药品、医用耗材招标采购平台建设。</w:t>
      </w:r>
    </w:p>
    <w:p>
      <w:pPr>
        <w:pStyle w:val="8"/>
        <w:spacing w:line="560" w:lineRule="exact"/>
        <w:ind w:firstLine="56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（五）执行地区药品、医用耗材、医疗服务项目、医疗服务设施等医保目录和支付标准，执行动态调整机制。</w:t>
      </w:r>
    </w:p>
    <w:p>
      <w:pPr>
        <w:pStyle w:val="8"/>
        <w:spacing w:line="560" w:lineRule="exact"/>
        <w:ind w:firstLine="56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（六）组织实施地点医药机构协议和支付管理办法，医疗保障信用评价体系和信息披露制度，监督管理纳入医保范围内的医疗服务行为和医疗费用，依法查处医疗保障、生育保险领域违法违规行为。</w:t>
      </w:r>
    </w:p>
    <w:p>
      <w:pPr>
        <w:pStyle w:val="8"/>
        <w:spacing w:line="560" w:lineRule="exact"/>
        <w:ind w:firstLine="56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七）负责医疗保障经办管理、公共服务体系和信息化建设。贯彻落实国家和自治区跨省异地就医管理和费用结算政策，执行自治区、地区疆内异地就医和费用结算政策。执行国家、自治区和地区医疗保障关系转移接续制度。</w:t>
      </w:r>
    </w:p>
    <w:p>
      <w:pPr>
        <w:pStyle w:val="8"/>
        <w:spacing w:line="560" w:lineRule="exact"/>
        <w:ind w:firstLine="56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（八）完成县委、县人民政府交办的其他任务。</w:t>
      </w:r>
    </w:p>
    <w:p>
      <w:pPr>
        <w:pStyle w:val="3"/>
        <w:numPr>
          <w:ilvl w:val="0"/>
          <w:numId w:val="1"/>
        </w:numPr>
        <w:spacing w:before="0" w:after="0" w:line="560" w:lineRule="exact"/>
        <w:ind w:left="0" w:firstLine="565"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机构设置及人员情况</w:t>
      </w:r>
    </w:p>
    <w:p>
      <w:pPr>
        <w:pStyle w:val="8"/>
        <w:spacing w:line="560" w:lineRule="exact"/>
        <w:ind w:firstLine="56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额敏县医疗保障局无下属预算单位，下设7个科室，分别是：办公室、财务室、医保经办服务管理科、稽核科、综合业务科、两定科、稽核科。</w:t>
      </w:r>
    </w:p>
    <w:p>
      <w:pPr>
        <w:pStyle w:val="8"/>
        <w:spacing w:line="560" w:lineRule="exact"/>
        <w:ind w:firstLine="56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额敏县医疗保障局编制数30，实有人数</w:t>
      </w:r>
      <w:r>
        <w:rPr>
          <w:rFonts w:hint="eastAsia" w:ascii="仿宋" w:hAnsi="仿宋" w:eastAsia="仿宋"/>
          <w:color w:val="auto"/>
          <w:sz w:val="28"/>
          <w:szCs w:val="28"/>
          <w:highlight w:val="none"/>
          <w:lang w:val="en-US" w:eastAsia="zh-CN"/>
        </w:rPr>
        <w:t>30</w:t>
      </w:r>
      <w:r>
        <w:rPr>
          <w:rFonts w:hint="eastAsia" w:ascii="仿宋" w:hAnsi="仿宋" w:eastAsia="仿宋"/>
          <w:color w:val="auto"/>
          <w:sz w:val="28"/>
          <w:szCs w:val="28"/>
          <w:highlight w:val="none"/>
        </w:rPr>
        <w:t>人，其中：在职29人，减少0人；退休1人，减少0人；离休0人，减少0人。</w:t>
      </w:r>
    </w:p>
    <w:p>
      <w:pPr>
        <w:pStyle w:val="2"/>
        <w:spacing w:before="156" w:beforeLines="50" w:after="156" w:afterLines="50" w:line="400" w:lineRule="exact"/>
        <w:jc w:val="center"/>
        <w:rPr>
          <w:rFonts w:ascii="黑体" w:eastAsia="黑体"/>
          <w:color w:val="auto"/>
          <w:sz w:val="30"/>
          <w:szCs w:val="30"/>
          <w:highlight w:val="none"/>
        </w:rPr>
      </w:pPr>
      <w:r>
        <w:rPr>
          <w:rFonts w:hint="eastAsia" w:ascii="仿宋" w:hAnsi="仿宋" w:eastAsia="仿宋"/>
          <w:color w:val="auto"/>
          <w:sz w:val="28"/>
          <w:szCs w:val="28"/>
          <w:highlight w:val="none"/>
        </w:rPr>
        <w:br w:type="page"/>
      </w:r>
      <w:r>
        <w:rPr>
          <w:rFonts w:hint="eastAsia" w:ascii="黑体" w:eastAsia="黑体"/>
          <w:color w:val="auto"/>
          <w:sz w:val="30"/>
          <w:szCs w:val="30"/>
          <w:highlight w:val="none"/>
        </w:rPr>
        <w:t xml:space="preserve">第二部分 </w:t>
      </w:r>
      <w:r>
        <w:rPr>
          <w:rFonts w:hint="eastAsia" w:ascii="黑体" w:eastAsia="黑体"/>
          <w:color w:val="auto"/>
          <w:sz w:val="30"/>
          <w:szCs w:val="30"/>
          <w:highlight w:val="none"/>
          <w:lang w:eastAsia="zh-CN"/>
        </w:rPr>
        <w:t>2026</w:t>
      </w:r>
      <w:r>
        <w:rPr>
          <w:rFonts w:hint="eastAsia" w:ascii="黑体" w:eastAsia="黑体"/>
          <w:color w:val="auto"/>
          <w:sz w:val="30"/>
          <w:szCs w:val="30"/>
          <w:highlight w:val="none"/>
        </w:rPr>
        <w:t>年部门预算公开表</w:t>
      </w:r>
    </w:p>
    <w:p>
      <w:pPr>
        <w:jc w:val="left"/>
        <w:rPr>
          <w:rFonts w:ascii="宋体" w:hAnsi="宋体"/>
          <w:color w:val="auto"/>
          <w:sz w:val="18"/>
          <w:szCs w:val="18"/>
          <w:highlight w:val="none"/>
        </w:rPr>
      </w:pPr>
      <w:r>
        <w:rPr>
          <w:rFonts w:hint="eastAsia" w:ascii="宋体" w:hAnsi="宋体"/>
          <w:color w:val="auto"/>
          <w:sz w:val="18"/>
          <w:szCs w:val="18"/>
          <w:highlight w:val="none"/>
        </w:rPr>
        <w:t>表1</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部门收支总体情况表</w:t>
      </w:r>
    </w:p>
    <w:tbl>
      <w:tblPr>
        <w:tblStyle w:val="6"/>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ascii="宋体" w:hAnsi="宋体"/>
                <w:color w:val="auto"/>
                <w:sz w:val="18"/>
                <w:szCs w:val="18"/>
                <w:highlight w:val="none"/>
              </w:rPr>
            </w:pPr>
            <w:r>
              <w:rPr>
                <w:rFonts w:hint="eastAsia"/>
                <w:color w:val="auto"/>
                <w:sz w:val="18"/>
                <w:szCs w:val="18"/>
                <w:highlight w:val="none"/>
              </w:rPr>
              <w:t>编制部门：额敏县医疗保障局</w:t>
            </w:r>
          </w:p>
        </w:tc>
        <w:tc>
          <w:tcPr>
            <w:tcW w:w="1150" w:type="dxa"/>
            <w:tcBorders>
              <w:top w:val="nil"/>
              <w:left w:val="nil"/>
              <w:bottom w:val="single" w:color="auto" w:sz="4" w:space="0"/>
              <w:right w:val="nil"/>
            </w:tcBorders>
            <w:shd w:val="clear" w:color="auto" w:fill="auto"/>
          </w:tcPr>
          <w:p>
            <w:pPr>
              <w:jc w:val="right"/>
              <w:rPr>
                <w:rFonts w:ascii="宋体" w:hAnsi="宋体"/>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auto"/>
                <w:sz w:val="18"/>
                <w:szCs w:val="18"/>
                <w:highlight w:val="none"/>
              </w:rPr>
            </w:pPr>
            <w:r>
              <w:rPr>
                <w:rFonts w:hint="eastAsia" w:ascii="宋体" w:hAnsi="宋体"/>
                <w:b/>
                <w:color w:val="auto"/>
                <w:sz w:val="18"/>
                <w:szCs w:val="18"/>
                <w:highlight w:val="none"/>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auto"/>
                <w:sz w:val="18"/>
                <w:szCs w:val="18"/>
                <w:highlight w:val="none"/>
              </w:rPr>
            </w:pPr>
            <w:r>
              <w:rPr>
                <w:rFonts w:hint="eastAsia" w:ascii="宋体" w:hAnsi="宋体"/>
                <w:b/>
                <w:color w:val="auto"/>
                <w:sz w:val="18"/>
                <w:szCs w:val="18"/>
                <w:highlight w:val="none"/>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auto"/>
                <w:sz w:val="18"/>
                <w:szCs w:val="18"/>
                <w:highlight w:val="none"/>
              </w:rPr>
            </w:pPr>
            <w:r>
              <w:rPr>
                <w:rFonts w:hint="eastAsia" w:ascii="宋体" w:hAnsi="宋体"/>
                <w:b/>
                <w:color w:val="auto"/>
                <w:sz w:val="18"/>
                <w:szCs w:val="18"/>
                <w:highlight w:val="none"/>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auto"/>
                <w:sz w:val="18"/>
                <w:szCs w:val="18"/>
                <w:highlight w:val="none"/>
              </w:rPr>
            </w:pPr>
            <w:r>
              <w:rPr>
                <w:rFonts w:hint="eastAsia" w:ascii="宋体" w:hAnsi="宋体"/>
                <w:b/>
                <w:color w:val="auto"/>
                <w:sz w:val="18"/>
                <w:szCs w:val="18"/>
                <w:highlight w:val="none"/>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auto"/>
                <w:sz w:val="18"/>
                <w:szCs w:val="18"/>
                <w:highlight w:val="none"/>
              </w:rPr>
            </w:pPr>
            <w:r>
              <w:rPr>
                <w:rFonts w:hint="eastAsia" w:ascii="宋体" w:hAnsi="宋体"/>
                <w:b/>
                <w:color w:val="auto"/>
                <w:sz w:val="18"/>
                <w:szCs w:val="18"/>
                <w:highlight w:val="none"/>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auto"/>
                <w:sz w:val="18"/>
                <w:szCs w:val="18"/>
                <w:highlight w:val="none"/>
              </w:rPr>
            </w:pPr>
            <w:r>
              <w:rPr>
                <w:rFonts w:hint="eastAsia" w:ascii="宋体" w:hAnsi="宋体"/>
                <w:b/>
                <w:color w:val="auto"/>
                <w:sz w:val="18"/>
                <w:szCs w:val="18"/>
                <w:highlight w:val="none"/>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一、本年收入</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570.40</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201 一般公共服务支出</w:t>
            </w:r>
          </w:p>
        </w:tc>
        <w:tc>
          <w:tcPr>
            <w:tcW w:w="1150" w:type="dxa"/>
            <w:shd w:val="clear" w:color="auto" w:fill="auto"/>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1.一般公共预算拨款</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556.40</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202 外交支出</w:t>
            </w:r>
          </w:p>
        </w:tc>
        <w:tc>
          <w:tcPr>
            <w:tcW w:w="1150" w:type="dxa"/>
            <w:shd w:val="clear" w:color="auto" w:fill="auto"/>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其中：一般财力</w:t>
            </w:r>
          </w:p>
        </w:tc>
        <w:tc>
          <w:tcPr>
            <w:tcW w:w="1150" w:type="dxa"/>
            <w:shd w:val="clear" w:color="auto" w:fill="auto"/>
          </w:tcPr>
          <w:p>
            <w:pPr>
              <w:jc w:val="right"/>
              <w:rPr>
                <w:rFonts w:ascii="宋体" w:hAnsi="宋体"/>
                <w:color w:val="auto"/>
                <w:sz w:val="18"/>
                <w:szCs w:val="18"/>
                <w:highlight w:val="none"/>
              </w:rPr>
            </w:pPr>
            <w:r>
              <w:rPr>
                <w:rFonts w:hint="eastAsia" w:ascii="宋体" w:hAnsi="宋体"/>
                <w:color w:val="auto"/>
                <w:sz w:val="18"/>
                <w:szCs w:val="18"/>
                <w:highlight w:val="none"/>
              </w:rPr>
              <w:t>551.40</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203 国防支出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上级一般公共预算安排转移支付</w:t>
            </w:r>
          </w:p>
        </w:tc>
        <w:tc>
          <w:tcPr>
            <w:tcW w:w="1150" w:type="dxa"/>
            <w:shd w:val="clear" w:color="auto" w:fill="auto"/>
          </w:tcPr>
          <w:p>
            <w:pPr>
              <w:jc w:val="right"/>
              <w:rPr>
                <w:rFonts w:ascii="宋体" w:hAnsi="宋体"/>
                <w:color w:val="auto"/>
                <w:sz w:val="18"/>
                <w:szCs w:val="18"/>
                <w:highlight w:val="none"/>
              </w:rPr>
            </w:pPr>
            <w:r>
              <w:rPr>
                <w:rFonts w:hint="eastAsia" w:ascii="宋体" w:hAnsi="宋体"/>
                <w:color w:val="auto"/>
                <w:sz w:val="18"/>
                <w:szCs w:val="18"/>
                <w:highlight w:val="none"/>
              </w:rPr>
              <w:t>5.00</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204 公共安全支出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2.政府性基金预算拨款</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205 教育支出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其中：政府性基金收入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206 科学技术支出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 xml:space="preserve">      上级政府性基金安排转移支付</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207 文化旅游体育与传媒支出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3.国有资本经营预算拨款</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208 社会保障和就业支出</w:t>
            </w:r>
          </w:p>
        </w:tc>
        <w:tc>
          <w:tcPr>
            <w:tcW w:w="115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50.95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其中：国有资本经营收入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209 社会保险基金支出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上级国有资本经营预算安排转移支付</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210 卫生健康支出</w:t>
            </w:r>
          </w:p>
        </w:tc>
        <w:tc>
          <w:tcPr>
            <w:tcW w:w="115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477.74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4.财政专户核拨</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211 节能环保支出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5.单位资金</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14.00</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212 城乡社区支出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其中：事业收入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213 农林水支出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上级补助收入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214 交通运输支出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附属单位上缴收入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215 资源勘探工业信息等支出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事业单位经营收入</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216 商业服务业等支出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其他收入</w:t>
            </w:r>
          </w:p>
        </w:tc>
        <w:tc>
          <w:tcPr>
            <w:tcW w:w="1150" w:type="dxa"/>
            <w:shd w:val="clear" w:color="auto" w:fill="auto"/>
          </w:tcPr>
          <w:p>
            <w:pPr>
              <w:jc w:val="right"/>
              <w:rPr>
                <w:rFonts w:ascii="宋体" w:hAnsi="宋体"/>
                <w:color w:val="auto"/>
                <w:sz w:val="18"/>
                <w:szCs w:val="18"/>
                <w:highlight w:val="none"/>
              </w:rPr>
            </w:pPr>
            <w:r>
              <w:rPr>
                <w:rFonts w:hint="eastAsia" w:ascii="宋体" w:hAnsi="宋体"/>
                <w:color w:val="auto"/>
                <w:sz w:val="18"/>
                <w:szCs w:val="18"/>
                <w:highlight w:val="none"/>
              </w:rPr>
              <w:t>14.00</w:t>
            </w: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217 金融支出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二、上年结转结余</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219 援助其他地区支出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1.财政拨款结转</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220 自然资源海洋气象等支出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其中：一般公共预算拨款</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221 住房保障支出</w:t>
            </w:r>
          </w:p>
        </w:tc>
        <w:tc>
          <w:tcPr>
            <w:tcW w:w="115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41.71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政府性基金预算拨款</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222 粮油物资储备支出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国有资本经营预算拨款</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223 国有资本经营预算支出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b/>
                <w:color w:val="auto"/>
                <w:sz w:val="18"/>
                <w:szCs w:val="18"/>
                <w:highlight w:val="none"/>
              </w:rPr>
              <w:t>2.非财政拨款结转结余</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224 灾害防治及应急管理支出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其中：财政专户核拨</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227 预备费</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 xml:space="preserve">      单位资金</w:t>
            </w: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229 其他支出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230 转移性支出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231 债务还本支出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232 债务付息支出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233 债务发行费用支出</w:t>
            </w:r>
          </w:p>
        </w:tc>
        <w:tc>
          <w:tcPr>
            <w:tcW w:w="1150"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ascii="宋体" w:hAnsi="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c>
          <w:tcPr>
            <w:tcW w:w="3600" w:type="dxa"/>
            <w:shd w:val="clear" w:color="auto" w:fill="auto"/>
          </w:tcPr>
          <w:p>
            <w:pPr>
              <w:rPr>
                <w:rFonts w:ascii="宋体" w:hAnsi="宋体" w:cs="宋体"/>
                <w:color w:val="auto"/>
                <w:sz w:val="18"/>
                <w:szCs w:val="18"/>
                <w:highlight w:val="none"/>
              </w:rPr>
            </w:pPr>
          </w:p>
        </w:tc>
        <w:tc>
          <w:tcPr>
            <w:tcW w:w="1150" w:type="dxa"/>
            <w:shd w:val="clear" w:color="auto" w:fill="auto"/>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ascii="宋体" w:hAnsi="宋体"/>
                <w:color w:val="auto"/>
                <w:sz w:val="18"/>
                <w:szCs w:val="18"/>
                <w:highlight w:val="none"/>
              </w:rPr>
            </w:pPr>
            <w:r>
              <w:rPr>
                <w:rFonts w:hint="eastAsia" w:ascii="宋体" w:hAnsi="宋体"/>
                <w:b/>
                <w:color w:val="auto"/>
                <w:sz w:val="18"/>
                <w:szCs w:val="18"/>
                <w:highlight w:val="none"/>
              </w:rPr>
              <w:t>收 入 总 计</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570.40</w:t>
            </w:r>
          </w:p>
        </w:tc>
        <w:tc>
          <w:tcPr>
            <w:tcW w:w="3600" w:type="dxa"/>
            <w:shd w:val="clear" w:color="auto" w:fill="auto"/>
          </w:tcPr>
          <w:p>
            <w:pPr>
              <w:jc w:val="center"/>
              <w:rPr>
                <w:rFonts w:ascii="宋体" w:hAnsi="宋体" w:cs="宋体"/>
                <w:color w:val="auto"/>
                <w:sz w:val="18"/>
                <w:szCs w:val="18"/>
                <w:highlight w:val="none"/>
              </w:rPr>
            </w:pPr>
            <w:r>
              <w:rPr>
                <w:rFonts w:hint="eastAsia" w:ascii="宋体" w:hAnsi="宋体"/>
                <w:b/>
                <w:color w:val="auto"/>
                <w:sz w:val="18"/>
                <w:szCs w:val="18"/>
                <w:highlight w:val="none"/>
              </w:rPr>
              <w:t>支 出 总 计</w:t>
            </w:r>
          </w:p>
        </w:tc>
        <w:tc>
          <w:tcPr>
            <w:tcW w:w="1150"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570.40</w:t>
            </w:r>
          </w:p>
        </w:tc>
      </w:tr>
    </w:tbl>
    <w:p>
      <w:pPr>
        <w:widowControl/>
        <w:jc w:val="left"/>
        <w:rPr>
          <w:rFonts w:ascii="仿宋" w:eastAsia="仿宋"/>
          <w:b/>
          <w:color w:val="auto"/>
          <w:szCs w:val="21"/>
          <w:highlight w:val="none"/>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auto"/>
          <w:sz w:val="18"/>
          <w:szCs w:val="18"/>
          <w:highlight w:val="none"/>
        </w:rPr>
      </w:pPr>
      <w:r>
        <w:rPr>
          <w:rFonts w:hint="eastAsia" w:ascii="宋体" w:hAnsi="宋体"/>
          <w:color w:val="auto"/>
          <w:sz w:val="18"/>
          <w:szCs w:val="18"/>
          <w:highlight w:val="none"/>
        </w:rPr>
        <w:t>表2</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部门收入总体情况表</w:t>
      </w:r>
    </w:p>
    <w:tbl>
      <w:tblPr>
        <w:tblStyle w:val="6"/>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pPr>
              <w:jc w:val="left"/>
              <w:rPr>
                <w:rFonts w:ascii="宋体" w:hAnsi="宋体"/>
                <w:color w:val="auto"/>
                <w:sz w:val="18"/>
                <w:szCs w:val="18"/>
                <w:highlight w:val="none"/>
              </w:rPr>
            </w:pPr>
            <w:r>
              <w:rPr>
                <w:rFonts w:hint="eastAsia"/>
                <w:color w:val="auto"/>
                <w:sz w:val="18"/>
                <w:szCs w:val="18"/>
                <w:highlight w:val="none"/>
              </w:rPr>
              <w:t>编制部门：额敏县医疗保障局</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功能分类科目编码</w:t>
            </w:r>
          </w:p>
        </w:tc>
        <w:tc>
          <w:tcPr>
            <w:tcW w:w="2433" w:type="dxa"/>
            <w:vMerge w:val="restart"/>
            <w:tcBorders>
              <w:top w:val="single" w:color="auto" w:sz="4" w:space="0"/>
            </w:tcBorders>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功能分类科目名称</w:t>
            </w:r>
          </w:p>
        </w:tc>
        <w:tc>
          <w:tcPr>
            <w:tcW w:w="1070" w:type="dxa"/>
            <w:vMerge w:val="restart"/>
            <w:tcBorders>
              <w:top w:val="single" w:color="auto" w:sz="4" w:space="0"/>
            </w:tcBorders>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总计</w:t>
            </w:r>
          </w:p>
        </w:tc>
        <w:tc>
          <w:tcPr>
            <w:tcW w:w="6865" w:type="dxa"/>
            <w:gridSpan w:val="8"/>
            <w:tcBorders>
              <w:top w:val="single" w:color="auto" w:sz="4" w:space="0"/>
            </w:tcBorders>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财政拨款（补助）</w:t>
            </w:r>
          </w:p>
        </w:tc>
        <w:tc>
          <w:tcPr>
            <w:tcW w:w="876" w:type="dxa"/>
            <w:vMerge w:val="restart"/>
            <w:tcBorders>
              <w:top w:val="single" w:color="auto" w:sz="4" w:space="0"/>
            </w:tcBorders>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财政专户（教育收费）</w:t>
            </w:r>
          </w:p>
        </w:tc>
        <w:tc>
          <w:tcPr>
            <w:tcW w:w="876" w:type="dxa"/>
            <w:vMerge w:val="restart"/>
            <w:tcBorders>
              <w:top w:val="single" w:color="auto" w:sz="4" w:space="0"/>
            </w:tcBorders>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单位资金</w:t>
            </w:r>
          </w:p>
        </w:tc>
        <w:tc>
          <w:tcPr>
            <w:tcW w:w="876" w:type="dxa"/>
            <w:vMerge w:val="restart"/>
            <w:tcBorders>
              <w:top w:val="single" w:color="auto" w:sz="4" w:space="0"/>
            </w:tcBorders>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财政拨款结转</w:t>
            </w:r>
          </w:p>
        </w:tc>
        <w:tc>
          <w:tcPr>
            <w:tcW w:w="876" w:type="dxa"/>
            <w:vMerge w:val="restart"/>
            <w:tcBorders>
              <w:top w:val="single" w:color="auto" w:sz="4" w:space="0"/>
            </w:tcBorders>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类</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款</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项</w:t>
            </w:r>
          </w:p>
        </w:tc>
        <w:tc>
          <w:tcPr>
            <w:tcW w:w="2433" w:type="dxa"/>
            <w:vMerge w:val="continue"/>
            <w:shd w:val="clear" w:color="auto" w:fill="auto"/>
            <w:vAlign w:val="center"/>
          </w:tcPr>
          <w:p>
            <w:pPr>
              <w:jc w:val="center"/>
              <w:rPr>
                <w:rFonts w:ascii="宋体" w:hAnsi="宋体"/>
                <w:color w:val="auto"/>
                <w:sz w:val="18"/>
                <w:szCs w:val="18"/>
                <w:highlight w:val="none"/>
              </w:rPr>
            </w:pPr>
          </w:p>
        </w:tc>
        <w:tc>
          <w:tcPr>
            <w:tcW w:w="1070" w:type="dxa"/>
            <w:vMerge w:val="continue"/>
            <w:shd w:val="clear" w:color="auto" w:fill="auto"/>
            <w:vAlign w:val="center"/>
          </w:tcPr>
          <w:p>
            <w:pPr>
              <w:jc w:val="center"/>
              <w:rPr>
                <w:rFonts w:ascii="宋体" w:hAnsi="宋体"/>
                <w:color w:val="auto"/>
                <w:sz w:val="18"/>
                <w:szCs w:val="18"/>
                <w:highlight w:val="none"/>
              </w:rPr>
            </w:pPr>
          </w:p>
        </w:tc>
        <w:tc>
          <w:tcPr>
            <w:tcW w:w="1128" w:type="dxa"/>
            <w:shd w:val="clear" w:color="auto" w:fill="auto"/>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财政拨款(补助)小计</w:t>
            </w:r>
          </w:p>
        </w:tc>
        <w:tc>
          <w:tcPr>
            <w:tcW w:w="1082" w:type="dxa"/>
            <w:shd w:val="clear" w:color="auto" w:fill="auto"/>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一般公共预算</w:t>
            </w:r>
          </w:p>
        </w:tc>
        <w:tc>
          <w:tcPr>
            <w:tcW w:w="1082" w:type="dxa"/>
            <w:shd w:val="clear" w:color="auto" w:fill="auto"/>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上级一般公共预算安排的转移支付</w:t>
            </w:r>
          </w:p>
        </w:tc>
        <w:tc>
          <w:tcPr>
            <w:tcW w:w="328" w:type="dxa"/>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政府性基金预算</w:t>
            </w:r>
          </w:p>
        </w:tc>
        <w:tc>
          <w:tcPr>
            <w:tcW w:w="1442" w:type="dxa"/>
            <w:gridSpan w:val="2"/>
            <w:shd w:val="clear" w:color="auto" w:fill="auto"/>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上级政府性基金安排的转移支付</w:t>
            </w:r>
          </w:p>
        </w:tc>
        <w:tc>
          <w:tcPr>
            <w:tcW w:w="885" w:type="dxa"/>
            <w:shd w:val="clear" w:color="auto" w:fill="auto"/>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国有资本经营预算</w:t>
            </w:r>
          </w:p>
        </w:tc>
        <w:tc>
          <w:tcPr>
            <w:tcW w:w="918" w:type="dxa"/>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上级国有资本经营预算安排的转移支付</w:t>
            </w:r>
          </w:p>
        </w:tc>
        <w:tc>
          <w:tcPr>
            <w:tcW w:w="876" w:type="dxa"/>
            <w:vMerge w:val="continue"/>
          </w:tcPr>
          <w:p>
            <w:pPr>
              <w:jc w:val="center"/>
              <w:rPr>
                <w:rFonts w:ascii="宋体" w:hAnsi="宋体"/>
                <w:color w:val="auto"/>
                <w:sz w:val="18"/>
                <w:szCs w:val="18"/>
                <w:highlight w:val="none"/>
              </w:rPr>
            </w:pPr>
          </w:p>
        </w:tc>
        <w:tc>
          <w:tcPr>
            <w:tcW w:w="876" w:type="dxa"/>
            <w:vMerge w:val="continue"/>
          </w:tcPr>
          <w:p>
            <w:pPr>
              <w:jc w:val="center"/>
              <w:rPr>
                <w:rFonts w:ascii="宋体" w:hAnsi="宋体"/>
                <w:color w:val="auto"/>
                <w:sz w:val="18"/>
                <w:szCs w:val="18"/>
                <w:highlight w:val="none"/>
              </w:rPr>
            </w:pPr>
          </w:p>
        </w:tc>
        <w:tc>
          <w:tcPr>
            <w:tcW w:w="876" w:type="dxa"/>
            <w:vMerge w:val="continue"/>
          </w:tcPr>
          <w:p>
            <w:pPr>
              <w:jc w:val="center"/>
              <w:rPr>
                <w:rFonts w:ascii="宋体" w:hAnsi="宋体"/>
                <w:color w:val="auto"/>
                <w:sz w:val="18"/>
                <w:szCs w:val="18"/>
                <w:highlight w:val="none"/>
              </w:rPr>
            </w:pPr>
          </w:p>
        </w:tc>
        <w:tc>
          <w:tcPr>
            <w:tcW w:w="876" w:type="dxa"/>
            <w:vMerge w:val="continue"/>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2433"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1070"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1128"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1082"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w:t>
            </w:r>
          </w:p>
        </w:tc>
        <w:tc>
          <w:tcPr>
            <w:tcW w:w="1082"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328" w:type="dxa"/>
          </w:tcPr>
          <w:p>
            <w:pPr>
              <w:jc w:val="center"/>
              <w:rPr>
                <w:rFonts w:ascii="宋体" w:hAnsi="宋体"/>
                <w:color w:val="auto"/>
                <w:sz w:val="18"/>
                <w:szCs w:val="18"/>
                <w:highlight w:val="none"/>
              </w:rPr>
            </w:pPr>
            <w:r>
              <w:rPr>
                <w:rFonts w:hint="eastAsia" w:ascii="宋体" w:hAnsi="宋体"/>
                <w:color w:val="auto"/>
                <w:sz w:val="18"/>
                <w:szCs w:val="18"/>
                <w:highlight w:val="none"/>
              </w:rPr>
              <w:t>5</w:t>
            </w:r>
          </w:p>
        </w:tc>
        <w:tc>
          <w:tcPr>
            <w:tcW w:w="1442" w:type="dxa"/>
            <w:gridSpan w:val="2"/>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6</w:t>
            </w:r>
          </w:p>
        </w:tc>
        <w:tc>
          <w:tcPr>
            <w:tcW w:w="885"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7</w:t>
            </w:r>
          </w:p>
        </w:tc>
        <w:tc>
          <w:tcPr>
            <w:tcW w:w="918" w:type="dxa"/>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876" w:type="dxa"/>
          </w:tcPr>
          <w:p>
            <w:pPr>
              <w:jc w:val="center"/>
              <w:rPr>
                <w:rFonts w:ascii="宋体" w:hAnsi="宋体"/>
                <w:color w:val="auto"/>
                <w:sz w:val="18"/>
                <w:szCs w:val="18"/>
                <w:highlight w:val="none"/>
              </w:rPr>
            </w:pPr>
            <w:r>
              <w:rPr>
                <w:rFonts w:hint="eastAsia" w:ascii="宋体" w:hAnsi="宋体"/>
                <w:color w:val="auto"/>
                <w:sz w:val="18"/>
                <w:szCs w:val="18"/>
                <w:highlight w:val="none"/>
              </w:rPr>
              <w:t>9</w:t>
            </w:r>
          </w:p>
        </w:tc>
        <w:tc>
          <w:tcPr>
            <w:tcW w:w="876" w:type="dxa"/>
          </w:tcPr>
          <w:p>
            <w:pPr>
              <w:jc w:val="center"/>
              <w:rPr>
                <w:rFonts w:ascii="宋体" w:hAnsi="宋体"/>
                <w:color w:val="auto"/>
                <w:sz w:val="18"/>
                <w:szCs w:val="18"/>
                <w:highlight w:val="none"/>
              </w:rPr>
            </w:pPr>
            <w:r>
              <w:rPr>
                <w:rFonts w:hint="eastAsia" w:ascii="宋体" w:hAnsi="宋体"/>
                <w:color w:val="auto"/>
                <w:sz w:val="18"/>
                <w:szCs w:val="18"/>
                <w:highlight w:val="none"/>
              </w:rPr>
              <w:t>10</w:t>
            </w:r>
          </w:p>
        </w:tc>
        <w:tc>
          <w:tcPr>
            <w:tcW w:w="876" w:type="dxa"/>
          </w:tcPr>
          <w:p>
            <w:pPr>
              <w:jc w:val="center"/>
              <w:rPr>
                <w:rFonts w:hint="eastAsia" w:ascii="宋体" w:hAnsi="宋体"/>
                <w:color w:val="auto"/>
                <w:sz w:val="18"/>
                <w:szCs w:val="18"/>
                <w:highlight w:val="none"/>
              </w:rPr>
            </w:pPr>
            <w:r>
              <w:rPr>
                <w:rFonts w:hint="eastAsia" w:ascii="宋体" w:hAnsi="宋体"/>
                <w:color w:val="auto"/>
                <w:sz w:val="18"/>
                <w:szCs w:val="18"/>
                <w:highlight w:val="none"/>
              </w:rPr>
              <w:t>11</w:t>
            </w:r>
          </w:p>
        </w:tc>
        <w:tc>
          <w:tcPr>
            <w:tcW w:w="876" w:type="dxa"/>
          </w:tcPr>
          <w:p>
            <w:pPr>
              <w:jc w:val="center"/>
              <w:rPr>
                <w:rFonts w:hint="eastAsia" w:ascii="宋体" w:hAnsi="宋体"/>
                <w:color w:val="auto"/>
                <w:sz w:val="18"/>
                <w:szCs w:val="18"/>
                <w:highlight w:val="none"/>
              </w:rPr>
            </w:pPr>
            <w:r>
              <w:rPr>
                <w:rFonts w:hint="eastAsia" w:ascii="宋体" w:hAnsi="宋体"/>
                <w:color w:val="auto"/>
                <w:sz w:val="18"/>
                <w:szCs w:val="18"/>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p>
        </w:tc>
        <w:tc>
          <w:tcPr>
            <w:tcW w:w="256" w:type="dxa"/>
            <w:shd w:val="clear" w:color="auto" w:fill="auto"/>
            <w:vAlign w:val="center"/>
          </w:tcPr>
          <w:p>
            <w:pPr>
              <w:jc w:val="center"/>
              <w:rPr>
                <w:rFonts w:ascii="宋体" w:hAnsi="宋体"/>
                <w:b/>
                <w:color w:val="auto"/>
                <w:sz w:val="18"/>
                <w:szCs w:val="18"/>
                <w:highlight w:val="none"/>
              </w:rPr>
            </w:pP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总计</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570.40</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556.40</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551.40</w:t>
            </w:r>
          </w:p>
        </w:tc>
        <w:tc>
          <w:tcPr>
            <w:tcW w:w="1082" w:type="dxa"/>
            <w:shd w:val="clear" w:color="auto" w:fill="auto"/>
            <w:vAlign w:val="center"/>
          </w:tcPr>
          <w:p>
            <w:pPr>
              <w:jc w:val="right"/>
              <w:rPr>
                <w:rFonts w:ascii="宋体" w:hAnsi="宋体"/>
                <w:b/>
                <w:color w:val="auto"/>
                <w:sz w:val="15"/>
                <w:szCs w:val="15"/>
                <w:highlight w:val="none"/>
              </w:rPr>
            </w:pPr>
            <w:r>
              <w:rPr>
                <w:rFonts w:hint="eastAsia" w:ascii="宋体" w:hAnsi="宋体"/>
                <w:b/>
                <w:color w:val="auto"/>
                <w:sz w:val="15"/>
                <w:szCs w:val="15"/>
                <w:highlight w:val="none"/>
              </w:rPr>
              <w:t>5.00</w:t>
            </w: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14.00</w:t>
            </w: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208</w:t>
            </w:r>
          </w:p>
        </w:tc>
        <w:tc>
          <w:tcPr>
            <w:tcW w:w="256" w:type="dxa"/>
            <w:shd w:val="clear" w:color="auto" w:fill="auto"/>
            <w:vAlign w:val="center"/>
          </w:tcPr>
          <w:p>
            <w:pPr>
              <w:jc w:val="center"/>
              <w:rPr>
                <w:rFonts w:ascii="宋体" w:hAnsi="宋体"/>
                <w:b/>
                <w:color w:val="auto"/>
                <w:sz w:val="18"/>
                <w:szCs w:val="18"/>
                <w:highlight w:val="none"/>
              </w:rPr>
            </w:pP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社会保障和就业支出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50.95</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50.95</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50.95</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208</w:t>
            </w:r>
          </w:p>
        </w:tc>
        <w:tc>
          <w:tcPr>
            <w:tcW w:w="256"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05</w:t>
            </w: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 xml:space="preserve">  行政事业单位养老支出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50.95</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50.95</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50.95</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208</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05</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01</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行政单位离退休</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1.59</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1.59</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1.59</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208</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05</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05</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机关事业单位基本养老保险缴费支出</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49.35</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49.35</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49.35</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210</w:t>
            </w:r>
          </w:p>
        </w:tc>
        <w:tc>
          <w:tcPr>
            <w:tcW w:w="256" w:type="dxa"/>
            <w:shd w:val="clear" w:color="auto" w:fill="auto"/>
            <w:vAlign w:val="center"/>
          </w:tcPr>
          <w:p>
            <w:pPr>
              <w:jc w:val="center"/>
              <w:rPr>
                <w:rFonts w:ascii="宋体" w:hAnsi="宋体"/>
                <w:b/>
                <w:color w:val="auto"/>
                <w:sz w:val="18"/>
                <w:szCs w:val="18"/>
                <w:highlight w:val="none"/>
              </w:rPr>
            </w:pP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卫生健康支出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477.74</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463.74</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458.74</w:t>
            </w:r>
          </w:p>
        </w:tc>
        <w:tc>
          <w:tcPr>
            <w:tcW w:w="1082" w:type="dxa"/>
            <w:shd w:val="clear" w:color="auto" w:fill="auto"/>
            <w:vAlign w:val="center"/>
          </w:tcPr>
          <w:p>
            <w:pPr>
              <w:jc w:val="right"/>
              <w:rPr>
                <w:rFonts w:ascii="宋体" w:hAnsi="宋体"/>
                <w:b/>
                <w:color w:val="auto"/>
                <w:sz w:val="15"/>
                <w:szCs w:val="15"/>
                <w:highlight w:val="none"/>
              </w:rPr>
            </w:pPr>
            <w:r>
              <w:rPr>
                <w:rFonts w:hint="eastAsia" w:ascii="宋体" w:hAnsi="宋体"/>
                <w:b/>
                <w:color w:val="auto"/>
                <w:sz w:val="15"/>
                <w:szCs w:val="15"/>
                <w:highlight w:val="none"/>
              </w:rPr>
              <w:t>5.00</w:t>
            </w: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14.00</w:t>
            </w: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210</w:t>
            </w:r>
          </w:p>
        </w:tc>
        <w:tc>
          <w:tcPr>
            <w:tcW w:w="256"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11</w:t>
            </w: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 xml:space="preserve">  行政事业单位医疗</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66.40</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66.40</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66.40</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210</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11</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01</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行政单位医疗</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24.38</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24.38</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24.38</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210</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11</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02</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事业单位医疗</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40.00</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40.00</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40.00</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210</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11</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03</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公务员医疗补助</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2.02</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2.02</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2.02</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210</w:t>
            </w:r>
          </w:p>
        </w:tc>
        <w:tc>
          <w:tcPr>
            <w:tcW w:w="256"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15</w:t>
            </w: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 xml:space="preserve">  医疗保障管理事务</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411.35</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397.35</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392.35</w:t>
            </w:r>
          </w:p>
        </w:tc>
        <w:tc>
          <w:tcPr>
            <w:tcW w:w="1082" w:type="dxa"/>
            <w:shd w:val="clear" w:color="auto" w:fill="auto"/>
            <w:vAlign w:val="center"/>
          </w:tcPr>
          <w:p>
            <w:pPr>
              <w:jc w:val="right"/>
              <w:rPr>
                <w:rFonts w:ascii="宋体" w:hAnsi="宋体"/>
                <w:b/>
                <w:color w:val="auto"/>
                <w:sz w:val="15"/>
                <w:szCs w:val="15"/>
                <w:highlight w:val="none"/>
              </w:rPr>
            </w:pPr>
            <w:r>
              <w:rPr>
                <w:rFonts w:hint="eastAsia" w:ascii="宋体" w:hAnsi="宋体"/>
                <w:b/>
                <w:color w:val="auto"/>
                <w:sz w:val="15"/>
                <w:szCs w:val="15"/>
                <w:highlight w:val="none"/>
              </w:rPr>
              <w:t>5.00</w:t>
            </w: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14.00</w:t>
            </w: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210</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15</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01</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行政运行</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122.87</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108.87</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108.87</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14.00</w:t>
            </w: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210</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15</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50</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事业运行</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283.48</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283.48</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283.48</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210</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15</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99</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其他医疗保障管理事务支出</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5.00</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5.00</w:t>
            </w:r>
          </w:p>
        </w:tc>
        <w:tc>
          <w:tcPr>
            <w:tcW w:w="1082" w:type="dxa"/>
            <w:shd w:val="clear" w:color="auto" w:fill="auto"/>
            <w:vAlign w:val="center"/>
          </w:tcPr>
          <w:p>
            <w:pPr>
              <w:jc w:val="right"/>
              <w:rPr>
                <w:rFonts w:ascii="宋体" w:hAnsi="宋体"/>
                <w:color w:val="auto"/>
                <w:sz w:val="18"/>
                <w:szCs w:val="18"/>
                <w:highlight w:val="none"/>
              </w:rPr>
            </w:pPr>
          </w:p>
        </w:tc>
        <w:tc>
          <w:tcPr>
            <w:tcW w:w="1082" w:type="dxa"/>
            <w:shd w:val="clear" w:color="auto" w:fill="auto"/>
            <w:vAlign w:val="center"/>
          </w:tcPr>
          <w:p>
            <w:pPr>
              <w:jc w:val="right"/>
              <w:rPr>
                <w:rFonts w:ascii="宋体" w:hAnsi="宋体"/>
                <w:color w:val="auto"/>
                <w:sz w:val="15"/>
                <w:szCs w:val="15"/>
                <w:highlight w:val="none"/>
              </w:rPr>
            </w:pPr>
            <w:r>
              <w:rPr>
                <w:rFonts w:hint="eastAsia" w:ascii="宋体" w:hAnsi="宋体"/>
                <w:color w:val="auto"/>
                <w:sz w:val="15"/>
                <w:szCs w:val="15"/>
                <w:highlight w:val="none"/>
              </w:rPr>
              <w:t>5.00</w:t>
            </w: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221</w:t>
            </w:r>
          </w:p>
        </w:tc>
        <w:tc>
          <w:tcPr>
            <w:tcW w:w="256" w:type="dxa"/>
            <w:shd w:val="clear" w:color="auto" w:fill="auto"/>
            <w:vAlign w:val="center"/>
          </w:tcPr>
          <w:p>
            <w:pPr>
              <w:jc w:val="center"/>
              <w:rPr>
                <w:rFonts w:ascii="宋体" w:hAnsi="宋体"/>
                <w:b/>
                <w:color w:val="auto"/>
                <w:sz w:val="18"/>
                <w:szCs w:val="18"/>
                <w:highlight w:val="none"/>
              </w:rPr>
            </w:pP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住房保障支出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41.71</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41.71</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41.71</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221</w:t>
            </w:r>
          </w:p>
        </w:tc>
        <w:tc>
          <w:tcPr>
            <w:tcW w:w="256"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5"/>
                <w:szCs w:val="15"/>
                <w:highlight w:val="none"/>
              </w:rPr>
              <w:t>02</w:t>
            </w:r>
          </w:p>
        </w:tc>
        <w:tc>
          <w:tcPr>
            <w:tcW w:w="247" w:type="dxa"/>
            <w:shd w:val="clear" w:color="auto" w:fill="auto"/>
            <w:vAlign w:val="center"/>
          </w:tcPr>
          <w:p>
            <w:pPr>
              <w:jc w:val="center"/>
              <w:rPr>
                <w:rFonts w:ascii="宋体" w:hAnsi="宋体"/>
                <w:b/>
                <w:color w:val="auto"/>
                <w:sz w:val="18"/>
                <w:szCs w:val="18"/>
                <w:highlight w:val="none"/>
              </w:rPr>
            </w:pPr>
          </w:p>
        </w:tc>
        <w:tc>
          <w:tcPr>
            <w:tcW w:w="2433"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5"/>
                <w:szCs w:val="15"/>
                <w:highlight w:val="none"/>
              </w:rPr>
              <w:t xml:space="preserve">  住房改革支出</w:t>
            </w:r>
          </w:p>
        </w:tc>
        <w:tc>
          <w:tcPr>
            <w:tcW w:w="1070"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41.71</w:t>
            </w:r>
          </w:p>
        </w:tc>
        <w:tc>
          <w:tcPr>
            <w:tcW w:w="1128"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41.71</w:t>
            </w:r>
          </w:p>
        </w:tc>
        <w:tc>
          <w:tcPr>
            <w:tcW w:w="1082" w:type="dxa"/>
            <w:shd w:val="clear" w:color="auto" w:fill="auto"/>
            <w:vAlign w:val="center"/>
          </w:tcPr>
          <w:p>
            <w:pPr>
              <w:jc w:val="right"/>
              <w:rPr>
                <w:rFonts w:ascii="宋体" w:hAnsi="宋体"/>
                <w:b/>
                <w:color w:val="auto"/>
                <w:sz w:val="18"/>
                <w:szCs w:val="18"/>
                <w:highlight w:val="none"/>
              </w:rPr>
            </w:pPr>
            <w:r>
              <w:rPr>
                <w:rFonts w:hint="eastAsia" w:ascii="宋体" w:hAnsi="宋体"/>
                <w:b/>
                <w:color w:val="auto"/>
                <w:sz w:val="15"/>
                <w:szCs w:val="15"/>
                <w:highlight w:val="none"/>
              </w:rPr>
              <w:t>41.71</w:t>
            </w:r>
          </w:p>
        </w:tc>
        <w:tc>
          <w:tcPr>
            <w:tcW w:w="1082" w:type="dxa"/>
            <w:shd w:val="clear" w:color="auto" w:fill="auto"/>
            <w:vAlign w:val="center"/>
          </w:tcPr>
          <w:p>
            <w:pPr>
              <w:jc w:val="right"/>
              <w:rPr>
                <w:rFonts w:ascii="宋体" w:hAnsi="宋体"/>
                <w:b/>
                <w:color w:val="auto"/>
                <w:sz w:val="15"/>
                <w:szCs w:val="15"/>
                <w:highlight w:val="none"/>
              </w:rPr>
            </w:pPr>
          </w:p>
        </w:tc>
        <w:tc>
          <w:tcPr>
            <w:tcW w:w="328" w:type="dxa"/>
            <w:vAlign w:val="center"/>
          </w:tcPr>
          <w:p>
            <w:pPr>
              <w:jc w:val="right"/>
              <w:rPr>
                <w:rFonts w:ascii="宋体" w:hAnsi="宋体"/>
                <w:b/>
                <w:color w:val="auto"/>
                <w:sz w:val="18"/>
                <w:szCs w:val="18"/>
                <w:highlight w:val="none"/>
              </w:rPr>
            </w:pPr>
          </w:p>
        </w:tc>
        <w:tc>
          <w:tcPr>
            <w:tcW w:w="1442" w:type="dxa"/>
            <w:gridSpan w:val="2"/>
            <w:shd w:val="clear" w:color="auto" w:fill="auto"/>
            <w:vAlign w:val="center"/>
          </w:tcPr>
          <w:p>
            <w:pPr>
              <w:jc w:val="right"/>
              <w:rPr>
                <w:rFonts w:ascii="宋体" w:hAnsi="宋体"/>
                <w:b/>
                <w:color w:val="auto"/>
                <w:sz w:val="18"/>
                <w:szCs w:val="18"/>
                <w:highlight w:val="none"/>
              </w:rPr>
            </w:pPr>
          </w:p>
        </w:tc>
        <w:tc>
          <w:tcPr>
            <w:tcW w:w="885" w:type="dxa"/>
            <w:shd w:val="clear" w:color="auto" w:fill="auto"/>
            <w:vAlign w:val="center"/>
          </w:tcPr>
          <w:p>
            <w:pPr>
              <w:jc w:val="right"/>
              <w:rPr>
                <w:rFonts w:ascii="宋体" w:hAnsi="宋体"/>
                <w:b/>
                <w:color w:val="auto"/>
                <w:sz w:val="18"/>
                <w:szCs w:val="18"/>
                <w:highlight w:val="none"/>
              </w:rPr>
            </w:pPr>
          </w:p>
        </w:tc>
        <w:tc>
          <w:tcPr>
            <w:tcW w:w="918"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c>
          <w:tcPr>
            <w:tcW w:w="876" w:type="dxa"/>
            <w:vAlign w:val="center"/>
          </w:tcPr>
          <w:p>
            <w:pPr>
              <w:jc w:val="right"/>
              <w:rPr>
                <w:rFonts w:hint="eastAsia"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221</w:t>
            </w:r>
          </w:p>
        </w:tc>
        <w:tc>
          <w:tcPr>
            <w:tcW w:w="25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02</w:t>
            </w:r>
          </w:p>
        </w:tc>
        <w:tc>
          <w:tcPr>
            <w:tcW w:w="24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5"/>
                <w:szCs w:val="15"/>
                <w:highlight w:val="none"/>
              </w:rPr>
              <w:t>01</w:t>
            </w:r>
          </w:p>
        </w:tc>
        <w:tc>
          <w:tcPr>
            <w:tcW w:w="2433"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5"/>
                <w:szCs w:val="15"/>
                <w:highlight w:val="none"/>
              </w:rPr>
              <w:t xml:space="preserve">    住房公积金</w:t>
            </w:r>
          </w:p>
        </w:tc>
        <w:tc>
          <w:tcPr>
            <w:tcW w:w="1070"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41.71</w:t>
            </w:r>
          </w:p>
        </w:tc>
        <w:tc>
          <w:tcPr>
            <w:tcW w:w="1128"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41.71</w:t>
            </w:r>
          </w:p>
        </w:tc>
        <w:tc>
          <w:tcPr>
            <w:tcW w:w="1082"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5"/>
                <w:szCs w:val="15"/>
                <w:highlight w:val="none"/>
              </w:rPr>
              <w:t>41.71</w:t>
            </w:r>
          </w:p>
        </w:tc>
        <w:tc>
          <w:tcPr>
            <w:tcW w:w="1082" w:type="dxa"/>
            <w:shd w:val="clear" w:color="auto" w:fill="auto"/>
            <w:vAlign w:val="center"/>
          </w:tcPr>
          <w:p>
            <w:pPr>
              <w:jc w:val="right"/>
              <w:rPr>
                <w:rFonts w:ascii="宋体" w:hAnsi="宋体"/>
                <w:color w:val="auto"/>
                <w:sz w:val="15"/>
                <w:szCs w:val="15"/>
                <w:highlight w:val="none"/>
              </w:rPr>
            </w:pPr>
          </w:p>
        </w:tc>
        <w:tc>
          <w:tcPr>
            <w:tcW w:w="328" w:type="dxa"/>
            <w:vAlign w:val="center"/>
          </w:tcPr>
          <w:p>
            <w:pPr>
              <w:jc w:val="right"/>
              <w:rPr>
                <w:rFonts w:ascii="宋体" w:hAnsi="宋体"/>
                <w:color w:val="auto"/>
                <w:sz w:val="18"/>
                <w:szCs w:val="18"/>
                <w:highlight w:val="none"/>
              </w:rPr>
            </w:pPr>
          </w:p>
        </w:tc>
        <w:tc>
          <w:tcPr>
            <w:tcW w:w="1442" w:type="dxa"/>
            <w:gridSpan w:val="2"/>
            <w:shd w:val="clear" w:color="auto" w:fill="auto"/>
            <w:vAlign w:val="center"/>
          </w:tcPr>
          <w:p>
            <w:pPr>
              <w:jc w:val="right"/>
              <w:rPr>
                <w:rFonts w:ascii="宋体" w:hAnsi="宋体"/>
                <w:color w:val="auto"/>
                <w:sz w:val="18"/>
                <w:szCs w:val="18"/>
                <w:highlight w:val="none"/>
              </w:rPr>
            </w:pPr>
          </w:p>
        </w:tc>
        <w:tc>
          <w:tcPr>
            <w:tcW w:w="885" w:type="dxa"/>
            <w:shd w:val="clear" w:color="auto" w:fill="auto"/>
            <w:vAlign w:val="center"/>
          </w:tcPr>
          <w:p>
            <w:pPr>
              <w:jc w:val="right"/>
              <w:rPr>
                <w:rFonts w:ascii="宋体" w:hAnsi="宋体"/>
                <w:color w:val="auto"/>
                <w:sz w:val="18"/>
                <w:szCs w:val="18"/>
                <w:highlight w:val="none"/>
              </w:rPr>
            </w:pPr>
          </w:p>
        </w:tc>
        <w:tc>
          <w:tcPr>
            <w:tcW w:w="918"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c>
          <w:tcPr>
            <w:tcW w:w="876" w:type="dxa"/>
            <w:vAlign w:val="center"/>
          </w:tcPr>
          <w:p>
            <w:pPr>
              <w:jc w:val="right"/>
              <w:rPr>
                <w:rFonts w:hint="eastAsia" w:ascii="宋体" w:hAnsi="宋体"/>
                <w:color w:val="auto"/>
                <w:sz w:val="18"/>
                <w:szCs w:val="18"/>
                <w:highlight w:val="none"/>
              </w:rPr>
            </w:pPr>
          </w:p>
        </w:tc>
      </w:tr>
    </w:tbl>
    <w:p>
      <w:pPr>
        <w:widowControl/>
        <w:jc w:val="left"/>
        <w:rPr>
          <w:rFonts w:ascii="仿宋" w:eastAsia="仿宋"/>
          <w:b/>
          <w:color w:val="auto"/>
          <w:szCs w:val="21"/>
          <w:highlight w:val="none"/>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auto"/>
          <w:sz w:val="18"/>
          <w:szCs w:val="18"/>
          <w:highlight w:val="none"/>
        </w:rPr>
      </w:pPr>
      <w:r>
        <w:rPr>
          <w:rFonts w:hint="eastAsia" w:ascii="宋体" w:hAnsi="宋体"/>
          <w:color w:val="auto"/>
          <w:sz w:val="18"/>
          <w:szCs w:val="18"/>
          <w:highlight w:val="none"/>
        </w:rPr>
        <w:t>表3</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部门支出总体情况表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编制部门：额敏县医疗保障局</w:t>
            </w:r>
          </w:p>
        </w:tc>
        <w:tc>
          <w:tcPr>
            <w:tcW w:w="1679"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科目</w:t>
            </w:r>
          </w:p>
        </w:tc>
        <w:tc>
          <w:tcPr>
            <w:tcW w:w="4017"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功能分类科目编码</w:t>
            </w:r>
          </w:p>
        </w:tc>
        <w:tc>
          <w:tcPr>
            <w:tcW w:w="4169"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功能分类科目名称</w:t>
            </w:r>
          </w:p>
        </w:tc>
        <w:tc>
          <w:tcPr>
            <w:tcW w:w="1306"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1306" w:type="dxa"/>
            <w:gridSpan w:val="2"/>
            <w:vMerge w:val="restart"/>
            <w:shd w:val="clear" w:color="auto" w:fill="auto"/>
            <w:vAlign w:val="center"/>
          </w:tcPr>
          <w:p>
            <w:pPr>
              <w:jc w:val="center"/>
              <w:rPr>
                <w:color w:val="auto"/>
                <w:sz w:val="18"/>
                <w:szCs w:val="18"/>
                <w:highlight w:val="none"/>
              </w:rPr>
            </w:pPr>
            <w:r>
              <w:rPr>
                <w:rFonts w:hint="eastAsia"/>
                <w:color w:val="auto"/>
                <w:sz w:val="18"/>
                <w:szCs w:val="18"/>
                <w:highlight w:val="none"/>
              </w:rPr>
              <w:t>基本支出</w:t>
            </w:r>
          </w:p>
        </w:tc>
        <w:tc>
          <w:tcPr>
            <w:tcW w:w="1405"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项</w:t>
            </w:r>
          </w:p>
        </w:tc>
        <w:tc>
          <w:tcPr>
            <w:tcW w:w="4169" w:type="dxa"/>
            <w:vMerge w:val="continue"/>
            <w:shd w:val="clear" w:color="auto" w:fill="auto"/>
            <w:vAlign w:val="center"/>
          </w:tcPr>
          <w:p>
            <w:pPr>
              <w:jc w:val="center"/>
              <w:rPr>
                <w:color w:val="auto"/>
                <w:sz w:val="18"/>
                <w:szCs w:val="18"/>
                <w:highlight w:val="none"/>
              </w:rPr>
            </w:pPr>
          </w:p>
        </w:tc>
        <w:tc>
          <w:tcPr>
            <w:tcW w:w="1306" w:type="dxa"/>
            <w:vMerge w:val="continue"/>
            <w:shd w:val="clear" w:color="auto" w:fill="auto"/>
            <w:vAlign w:val="center"/>
          </w:tcPr>
          <w:p>
            <w:pPr>
              <w:jc w:val="center"/>
              <w:rPr>
                <w:color w:val="auto"/>
                <w:sz w:val="18"/>
                <w:szCs w:val="18"/>
                <w:highlight w:val="none"/>
              </w:rPr>
            </w:pPr>
          </w:p>
        </w:tc>
        <w:tc>
          <w:tcPr>
            <w:tcW w:w="1306" w:type="dxa"/>
            <w:gridSpan w:val="2"/>
            <w:vMerge w:val="continue"/>
            <w:shd w:val="clear" w:color="auto" w:fill="auto"/>
            <w:vAlign w:val="center"/>
          </w:tcPr>
          <w:p>
            <w:pPr>
              <w:jc w:val="center"/>
              <w:rPr>
                <w:color w:val="auto"/>
                <w:sz w:val="18"/>
                <w:szCs w:val="18"/>
                <w:highlight w:val="none"/>
              </w:rPr>
            </w:pPr>
          </w:p>
        </w:tc>
        <w:tc>
          <w:tcPr>
            <w:tcW w:w="1405"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4169"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306"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306"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1405" w:type="dxa"/>
            <w:shd w:val="clear" w:color="auto" w:fill="auto"/>
            <w:vAlign w:val="center"/>
          </w:tcPr>
          <w:p>
            <w:pPr>
              <w:jc w:val="center"/>
              <w:rPr>
                <w:color w:val="auto"/>
                <w:sz w:val="18"/>
                <w:szCs w:val="18"/>
                <w:highlight w:val="none"/>
              </w:rPr>
            </w:pPr>
            <w:r>
              <w:rPr>
                <w:rFonts w:hint="eastAsia"/>
                <w:color w:val="auto"/>
                <w:sz w:val="18"/>
                <w:szCs w:val="18"/>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总计</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570.40</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511.40</w:t>
            </w:r>
          </w:p>
        </w:tc>
        <w:tc>
          <w:tcPr>
            <w:tcW w:w="1405"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208</w:t>
            </w:r>
          </w:p>
        </w:tc>
        <w:tc>
          <w:tcPr>
            <w:tcW w:w="567"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社会保障和就业支出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50.95</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50.95</w:t>
            </w:r>
          </w:p>
        </w:tc>
        <w:tc>
          <w:tcPr>
            <w:tcW w:w="1405"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208</w:t>
            </w:r>
          </w:p>
        </w:tc>
        <w:tc>
          <w:tcPr>
            <w:tcW w:w="567"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05</w:t>
            </w: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 xml:space="preserve">  行政事业单位养老支出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50.95</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50.95</w:t>
            </w:r>
          </w:p>
        </w:tc>
        <w:tc>
          <w:tcPr>
            <w:tcW w:w="1405"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208</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01</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行政单位离退休</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1.59</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1.59</w:t>
            </w:r>
          </w:p>
        </w:tc>
        <w:tc>
          <w:tcPr>
            <w:tcW w:w="1405"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208</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机关事业单位基本养老保险缴费支出</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49.35</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49.35</w:t>
            </w:r>
          </w:p>
        </w:tc>
        <w:tc>
          <w:tcPr>
            <w:tcW w:w="1405"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210</w:t>
            </w:r>
          </w:p>
        </w:tc>
        <w:tc>
          <w:tcPr>
            <w:tcW w:w="567"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卫生健康支出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477.74</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418.74</w:t>
            </w:r>
          </w:p>
        </w:tc>
        <w:tc>
          <w:tcPr>
            <w:tcW w:w="1405"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210</w:t>
            </w:r>
          </w:p>
        </w:tc>
        <w:tc>
          <w:tcPr>
            <w:tcW w:w="567"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11</w:t>
            </w: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 xml:space="preserve">  行政事业单位医疗</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66.40</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26.40</w:t>
            </w:r>
          </w:p>
        </w:tc>
        <w:tc>
          <w:tcPr>
            <w:tcW w:w="1405"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11</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01</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行政单位医疗</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24.38</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24.38</w:t>
            </w:r>
          </w:p>
        </w:tc>
        <w:tc>
          <w:tcPr>
            <w:tcW w:w="1405"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11</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事业单位医疗</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40.00</w:t>
            </w:r>
          </w:p>
        </w:tc>
        <w:tc>
          <w:tcPr>
            <w:tcW w:w="1306" w:type="dxa"/>
            <w:gridSpan w:val="2"/>
            <w:shd w:val="clear" w:color="auto" w:fill="auto"/>
            <w:vAlign w:val="center"/>
          </w:tcPr>
          <w:p>
            <w:pPr>
              <w:jc w:val="right"/>
              <w:rPr>
                <w:color w:val="auto"/>
                <w:sz w:val="18"/>
                <w:szCs w:val="18"/>
                <w:highlight w:val="none"/>
              </w:rPr>
            </w:pPr>
          </w:p>
        </w:tc>
        <w:tc>
          <w:tcPr>
            <w:tcW w:w="1405"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11</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03</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公务员医疗补助</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2.02</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2.02</w:t>
            </w:r>
          </w:p>
        </w:tc>
        <w:tc>
          <w:tcPr>
            <w:tcW w:w="1405"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210</w:t>
            </w:r>
          </w:p>
        </w:tc>
        <w:tc>
          <w:tcPr>
            <w:tcW w:w="567"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15</w:t>
            </w: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 xml:space="preserve">  医疗保障管理事务</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411.35</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392.35</w:t>
            </w:r>
          </w:p>
        </w:tc>
        <w:tc>
          <w:tcPr>
            <w:tcW w:w="1405"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15</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01</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行政运行</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122.87</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108.87</w:t>
            </w:r>
          </w:p>
        </w:tc>
        <w:tc>
          <w:tcPr>
            <w:tcW w:w="1405"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15</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50</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事业运行</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283.48</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283.48</w:t>
            </w:r>
          </w:p>
        </w:tc>
        <w:tc>
          <w:tcPr>
            <w:tcW w:w="1405"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15</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99</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其他医疗保障管理事务支出</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5.00</w:t>
            </w:r>
          </w:p>
        </w:tc>
        <w:tc>
          <w:tcPr>
            <w:tcW w:w="1306" w:type="dxa"/>
            <w:gridSpan w:val="2"/>
            <w:shd w:val="clear" w:color="auto" w:fill="auto"/>
            <w:vAlign w:val="center"/>
          </w:tcPr>
          <w:p>
            <w:pPr>
              <w:jc w:val="right"/>
              <w:rPr>
                <w:color w:val="auto"/>
                <w:sz w:val="18"/>
                <w:szCs w:val="18"/>
                <w:highlight w:val="none"/>
              </w:rPr>
            </w:pPr>
          </w:p>
        </w:tc>
        <w:tc>
          <w:tcPr>
            <w:tcW w:w="1405"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221</w:t>
            </w:r>
          </w:p>
        </w:tc>
        <w:tc>
          <w:tcPr>
            <w:tcW w:w="567"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住房保障支出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41.71</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41.71</w:t>
            </w:r>
          </w:p>
        </w:tc>
        <w:tc>
          <w:tcPr>
            <w:tcW w:w="1405"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221</w:t>
            </w:r>
          </w:p>
        </w:tc>
        <w:tc>
          <w:tcPr>
            <w:tcW w:w="567" w:type="dxa"/>
            <w:shd w:val="clear" w:color="auto" w:fill="auto"/>
            <w:vAlign w:val="center"/>
          </w:tcPr>
          <w:p>
            <w:pPr>
              <w:jc w:val="center"/>
              <w:rPr>
                <w:rFonts w:ascii="宋体" w:hAnsi="宋体"/>
                <w:b/>
                <w:color w:val="auto"/>
                <w:sz w:val="18"/>
                <w:szCs w:val="18"/>
                <w:highlight w:val="none"/>
              </w:rPr>
            </w:pPr>
            <w:r>
              <w:rPr>
                <w:rFonts w:hint="eastAsia" w:ascii="宋体" w:hAnsi="宋体"/>
                <w:b/>
                <w:color w:val="auto"/>
                <w:sz w:val="18"/>
                <w:szCs w:val="18"/>
                <w:highlight w:val="none"/>
              </w:rPr>
              <w:t>02</w:t>
            </w:r>
          </w:p>
        </w:tc>
        <w:tc>
          <w:tcPr>
            <w:tcW w:w="567" w:type="dxa"/>
            <w:shd w:val="clear" w:color="auto" w:fill="auto"/>
            <w:vAlign w:val="center"/>
          </w:tcPr>
          <w:p>
            <w:pPr>
              <w:jc w:val="center"/>
              <w:rPr>
                <w:rFonts w:ascii="宋体" w:hAnsi="宋体"/>
                <w:b/>
                <w:color w:val="auto"/>
                <w:sz w:val="18"/>
                <w:szCs w:val="18"/>
                <w:highlight w:val="none"/>
              </w:rPr>
            </w:pPr>
          </w:p>
        </w:tc>
        <w:tc>
          <w:tcPr>
            <w:tcW w:w="4169" w:type="dxa"/>
            <w:shd w:val="clear" w:color="auto" w:fill="auto"/>
            <w:vAlign w:val="center"/>
          </w:tcPr>
          <w:p>
            <w:pPr>
              <w:jc w:val="left"/>
              <w:rPr>
                <w:rFonts w:ascii="宋体" w:hAnsi="宋体"/>
                <w:b/>
                <w:color w:val="auto"/>
                <w:sz w:val="18"/>
                <w:szCs w:val="18"/>
                <w:highlight w:val="none"/>
              </w:rPr>
            </w:pPr>
            <w:r>
              <w:rPr>
                <w:rFonts w:hint="eastAsia" w:ascii="宋体" w:hAnsi="宋体"/>
                <w:b/>
                <w:color w:val="auto"/>
                <w:sz w:val="18"/>
                <w:szCs w:val="18"/>
                <w:highlight w:val="none"/>
              </w:rPr>
              <w:t xml:space="preserve">  住房改革支出</w:t>
            </w:r>
          </w:p>
        </w:tc>
        <w:tc>
          <w:tcPr>
            <w:tcW w:w="1306"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41.71</w:t>
            </w:r>
          </w:p>
        </w:tc>
        <w:tc>
          <w:tcPr>
            <w:tcW w:w="130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41.71</w:t>
            </w:r>
          </w:p>
        </w:tc>
        <w:tc>
          <w:tcPr>
            <w:tcW w:w="1405"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221</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w:t>
            </w:r>
          </w:p>
        </w:tc>
        <w:tc>
          <w:tcPr>
            <w:tcW w:w="567"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01</w:t>
            </w:r>
          </w:p>
        </w:tc>
        <w:tc>
          <w:tcPr>
            <w:tcW w:w="4169" w:type="dxa"/>
            <w:shd w:val="clear" w:color="auto" w:fill="auto"/>
            <w:vAlign w:val="center"/>
          </w:tcPr>
          <w:p>
            <w:pPr>
              <w:jc w:val="left"/>
              <w:rPr>
                <w:rFonts w:ascii="宋体" w:hAnsi="宋体"/>
                <w:color w:val="auto"/>
                <w:sz w:val="18"/>
                <w:szCs w:val="18"/>
                <w:highlight w:val="none"/>
              </w:rPr>
            </w:pPr>
            <w:r>
              <w:rPr>
                <w:rFonts w:hint="eastAsia" w:ascii="宋体" w:hAnsi="宋体"/>
                <w:color w:val="auto"/>
                <w:sz w:val="18"/>
                <w:szCs w:val="18"/>
                <w:highlight w:val="none"/>
              </w:rPr>
              <w:t xml:space="preserve">    住房公积金</w:t>
            </w:r>
          </w:p>
        </w:tc>
        <w:tc>
          <w:tcPr>
            <w:tcW w:w="1306"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41.71</w:t>
            </w:r>
          </w:p>
        </w:tc>
        <w:tc>
          <w:tcPr>
            <w:tcW w:w="130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41.71</w:t>
            </w:r>
          </w:p>
        </w:tc>
        <w:tc>
          <w:tcPr>
            <w:tcW w:w="1405" w:type="dxa"/>
            <w:shd w:val="clear" w:color="auto" w:fill="auto"/>
            <w:vAlign w:val="center"/>
          </w:tcPr>
          <w:p>
            <w:pPr>
              <w:jc w:val="right"/>
              <w:rPr>
                <w:color w:val="auto"/>
                <w:sz w:val="18"/>
                <w:szCs w:val="18"/>
                <w:highlight w:val="none"/>
              </w:rPr>
            </w:pPr>
          </w:p>
        </w:tc>
      </w:tr>
    </w:tbl>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jc w:val="left"/>
        <w:rPr>
          <w:rFonts w:ascii="宋体" w:hAnsi="宋体"/>
          <w:color w:val="auto"/>
          <w:sz w:val="18"/>
          <w:szCs w:val="18"/>
          <w:highlight w:val="none"/>
        </w:rPr>
      </w:pPr>
      <w:r>
        <w:rPr>
          <w:rFonts w:hint="eastAsia" w:ascii="宋体" w:hAnsi="宋体"/>
          <w:color w:val="auto"/>
          <w:sz w:val="18"/>
          <w:szCs w:val="18"/>
          <w:highlight w:val="none"/>
        </w:rPr>
        <w:t>表4</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财政拨款收支预算总体情况表</w:t>
      </w:r>
    </w:p>
    <w:tbl>
      <w:tblPr>
        <w:tblStyle w:val="6"/>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编制部门：额敏县医疗保障局</w:t>
            </w:r>
          </w:p>
        </w:tc>
        <w:tc>
          <w:tcPr>
            <w:tcW w:w="1119" w:type="dxa"/>
            <w:gridSpan w:val="2"/>
            <w:tcBorders>
              <w:top w:val="nil"/>
              <w:left w:val="nil"/>
              <w:right w:val="nil"/>
            </w:tcBorders>
          </w:tcPr>
          <w:p>
            <w:pPr>
              <w:jc w:val="right"/>
              <w:rPr>
                <w:color w:val="auto"/>
                <w:sz w:val="18"/>
                <w:szCs w:val="18"/>
                <w:highlight w:val="none"/>
              </w:rPr>
            </w:pPr>
          </w:p>
        </w:tc>
        <w:tc>
          <w:tcPr>
            <w:tcW w:w="2006"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财政拨款收入</w:t>
            </w:r>
          </w:p>
        </w:tc>
        <w:tc>
          <w:tcPr>
            <w:tcW w:w="6728" w:type="dxa"/>
            <w:gridSpan w:val="7"/>
            <w:shd w:val="clear" w:color="auto" w:fill="auto"/>
            <w:vAlign w:val="center"/>
          </w:tcPr>
          <w:p>
            <w:pPr>
              <w:jc w:val="center"/>
              <w:rPr>
                <w:b/>
                <w:color w:val="auto"/>
                <w:sz w:val="18"/>
                <w:szCs w:val="18"/>
                <w:highlight w:val="none"/>
              </w:rPr>
            </w:pPr>
            <w:r>
              <w:rPr>
                <w:rFonts w:hint="eastAsia"/>
                <w:b/>
                <w:color w:val="auto"/>
                <w:sz w:val="18"/>
                <w:szCs w:val="18"/>
                <w:highlight w:val="none"/>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auto"/>
                <w:sz w:val="18"/>
                <w:szCs w:val="18"/>
                <w:highlight w:val="none"/>
              </w:rPr>
            </w:pPr>
            <w:r>
              <w:rPr>
                <w:rFonts w:hint="eastAsia"/>
                <w:b/>
                <w:color w:val="auto"/>
                <w:sz w:val="18"/>
                <w:szCs w:val="18"/>
                <w:highlight w:val="none"/>
              </w:rPr>
              <w:t>项目</w:t>
            </w:r>
          </w:p>
        </w:tc>
        <w:tc>
          <w:tcPr>
            <w:tcW w:w="1117" w:type="dxa"/>
            <w:shd w:val="clear" w:color="auto" w:fill="auto"/>
            <w:vAlign w:val="center"/>
          </w:tcPr>
          <w:p>
            <w:pPr>
              <w:jc w:val="center"/>
              <w:rPr>
                <w:color w:val="auto"/>
                <w:sz w:val="18"/>
                <w:szCs w:val="18"/>
                <w:highlight w:val="none"/>
              </w:rPr>
            </w:pPr>
            <w:r>
              <w:rPr>
                <w:rFonts w:hint="eastAsia"/>
                <w:b/>
                <w:color w:val="auto"/>
                <w:sz w:val="18"/>
                <w:szCs w:val="18"/>
                <w:highlight w:val="none"/>
              </w:rPr>
              <w:t>合计</w:t>
            </w:r>
          </w:p>
        </w:tc>
        <w:tc>
          <w:tcPr>
            <w:tcW w:w="2434" w:type="dxa"/>
            <w:shd w:val="clear" w:color="auto" w:fill="auto"/>
            <w:vAlign w:val="center"/>
          </w:tcPr>
          <w:p>
            <w:pPr>
              <w:jc w:val="center"/>
              <w:rPr>
                <w:color w:val="auto"/>
                <w:sz w:val="18"/>
                <w:szCs w:val="18"/>
                <w:highlight w:val="none"/>
              </w:rPr>
            </w:pPr>
            <w:r>
              <w:rPr>
                <w:rFonts w:hint="eastAsia"/>
                <w:b/>
                <w:color w:val="auto"/>
                <w:sz w:val="18"/>
                <w:szCs w:val="18"/>
                <w:highlight w:val="none"/>
              </w:rPr>
              <w:t>功能分类</w:t>
            </w:r>
          </w:p>
        </w:tc>
        <w:tc>
          <w:tcPr>
            <w:tcW w:w="1117" w:type="dxa"/>
            <w:shd w:val="clear" w:color="auto" w:fill="auto"/>
            <w:vAlign w:val="center"/>
          </w:tcPr>
          <w:p>
            <w:pPr>
              <w:jc w:val="center"/>
              <w:rPr>
                <w:color w:val="auto"/>
                <w:sz w:val="18"/>
                <w:szCs w:val="18"/>
                <w:highlight w:val="none"/>
              </w:rPr>
            </w:pPr>
            <w:r>
              <w:rPr>
                <w:rFonts w:hint="eastAsia"/>
                <w:b/>
                <w:color w:val="auto"/>
                <w:sz w:val="18"/>
                <w:szCs w:val="18"/>
                <w:highlight w:val="none"/>
              </w:rPr>
              <w:t>合计</w:t>
            </w:r>
          </w:p>
        </w:tc>
        <w:tc>
          <w:tcPr>
            <w:tcW w:w="1063" w:type="dxa"/>
            <w:gridSpan w:val="2"/>
            <w:shd w:val="clear" w:color="auto" w:fill="auto"/>
            <w:vAlign w:val="center"/>
          </w:tcPr>
          <w:p>
            <w:pPr>
              <w:jc w:val="center"/>
              <w:rPr>
                <w:color w:val="auto"/>
                <w:sz w:val="18"/>
                <w:szCs w:val="18"/>
                <w:highlight w:val="none"/>
              </w:rPr>
            </w:pPr>
            <w:r>
              <w:rPr>
                <w:rFonts w:hint="eastAsia"/>
                <w:b/>
                <w:color w:val="auto"/>
                <w:sz w:val="18"/>
                <w:szCs w:val="18"/>
                <w:highlight w:val="none"/>
              </w:rPr>
              <w:t>一般公共预算</w:t>
            </w:r>
          </w:p>
        </w:tc>
        <w:tc>
          <w:tcPr>
            <w:tcW w:w="1063" w:type="dxa"/>
            <w:gridSpan w:val="2"/>
            <w:vAlign w:val="center"/>
          </w:tcPr>
          <w:p>
            <w:pPr>
              <w:jc w:val="center"/>
              <w:rPr>
                <w:color w:val="auto"/>
                <w:sz w:val="18"/>
                <w:szCs w:val="18"/>
                <w:highlight w:val="none"/>
              </w:rPr>
            </w:pPr>
            <w:r>
              <w:rPr>
                <w:rFonts w:hint="eastAsia"/>
                <w:b/>
                <w:color w:val="auto"/>
                <w:sz w:val="18"/>
                <w:szCs w:val="18"/>
                <w:highlight w:val="none"/>
              </w:rPr>
              <w:t>政府性基金预算</w:t>
            </w:r>
          </w:p>
        </w:tc>
        <w:tc>
          <w:tcPr>
            <w:tcW w:w="1051" w:type="dxa"/>
            <w:shd w:val="clear" w:color="auto" w:fill="auto"/>
            <w:vAlign w:val="center"/>
          </w:tcPr>
          <w:p>
            <w:pPr>
              <w:jc w:val="center"/>
              <w:rPr>
                <w:color w:val="auto"/>
                <w:sz w:val="18"/>
                <w:szCs w:val="18"/>
                <w:highlight w:val="none"/>
              </w:rPr>
            </w:pPr>
            <w:r>
              <w:rPr>
                <w:rFonts w:hint="eastAsia"/>
                <w:b/>
                <w:color w:val="auto"/>
                <w:sz w:val="18"/>
                <w:szCs w:val="18"/>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r>
              <w:rPr>
                <w:rFonts w:hint="eastAsia"/>
                <w:b/>
                <w:color w:val="auto"/>
                <w:sz w:val="18"/>
                <w:szCs w:val="18"/>
                <w:highlight w:val="none"/>
              </w:rPr>
              <w:t>一、财政拨款（补助）</w:t>
            </w:r>
          </w:p>
        </w:tc>
        <w:tc>
          <w:tcPr>
            <w:tcW w:w="1117" w:type="dxa"/>
            <w:shd w:val="clear" w:color="auto" w:fill="auto"/>
          </w:tcPr>
          <w:p>
            <w:pPr>
              <w:jc w:val="right"/>
              <w:rPr>
                <w:rFonts w:ascii="宋体" w:hAnsi="宋体"/>
                <w:color w:val="auto"/>
                <w:sz w:val="18"/>
                <w:szCs w:val="18"/>
                <w:highlight w:val="none"/>
              </w:rPr>
            </w:pPr>
            <w:r>
              <w:rPr>
                <w:rFonts w:hint="eastAsia" w:ascii="宋体" w:hAnsi="宋体"/>
                <w:b/>
                <w:color w:val="auto"/>
                <w:sz w:val="18"/>
                <w:szCs w:val="18"/>
                <w:highlight w:val="none"/>
              </w:rPr>
              <w:t>556.40</w:t>
            </w: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201 一般公共服务支出</w:t>
            </w:r>
          </w:p>
        </w:tc>
        <w:tc>
          <w:tcPr>
            <w:tcW w:w="1117" w:type="dxa"/>
            <w:shd w:val="clear" w:color="auto" w:fill="auto"/>
          </w:tcPr>
          <w:p>
            <w:pPr>
              <w:jc w:val="right"/>
              <w:rPr>
                <w:rFonts w:ascii="宋体" w:hAnsi="宋体"/>
                <w:color w:val="auto"/>
                <w:sz w:val="18"/>
                <w:szCs w:val="18"/>
                <w:highlight w:val="none"/>
              </w:rPr>
            </w:pPr>
          </w:p>
        </w:tc>
        <w:tc>
          <w:tcPr>
            <w:tcW w:w="1063" w:type="dxa"/>
            <w:gridSpan w:val="2"/>
            <w:shd w:val="clear" w:color="auto" w:fill="auto"/>
          </w:tcPr>
          <w:p>
            <w:pPr>
              <w:jc w:val="right"/>
              <w:rPr>
                <w:rFonts w:ascii="宋体" w:hAnsi="宋体"/>
                <w:color w:val="auto"/>
                <w:sz w:val="18"/>
                <w:szCs w:val="18"/>
                <w:highlight w:val="none"/>
              </w:rPr>
            </w:pPr>
          </w:p>
        </w:tc>
        <w:tc>
          <w:tcPr>
            <w:tcW w:w="1063" w:type="dxa"/>
            <w:gridSpan w:val="2"/>
          </w:tcPr>
          <w:p>
            <w:pPr>
              <w:jc w:val="right"/>
              <w:rPr>
                <w:rFonts w:ascii="宋体" w:hAnsi="宋体"/>
                <w:color w:val="auto"/>
                <w:sz w:val="18"/>
                <w:szCs w:val="18"/>
                <w:highlight w:val="none"/>
              </w:rPr>
            </w:pPr>
          </w:p>
        </w:tc>
        <w:tc>
          <w:tcPr>
            <w:tcW w:w="1051" w:type="dxa"/>
            <w:shd w:val="clear" w:color="auto" w:fill="auto"/>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auto"/>
                <w:sz w:val="18"/>
                <w:szCs w:val="18"/>
                <w:highlight w:val="none"/>
              </w:rPr>
            </w:pPr>
            <w:r>
              <w:rPr>
                <w:rFonts w:hint="eastAsia"/>
                <w:color w:val="auto"/>
                <w:sz w:val="18"/>
                <w:szCs w:val="18"/>
                <w:highlight w:val="none"/>
              </w:rPr>
              <w:t>一般公共预算</w:t>
            </w:r>
          </w:p>
        </w:tc>
        <w:tc>
          <w:tcPr>
            <w:tcW w:w="1117" w:type="dxa"/>
            <w:shd w:val="clear" w:color="auto" w:fill="auto"/>
          </w:tcPr>
          <w:p>
            <w:pPr>
              <w:jc w:val="right"/>
              <w:rPr>
                <w:rFonts w:ascii="宋体" w:hAnsi="宋体"/>
                <w:color w:val="auto"/>
                <w:sz w:val="18"/>
                <w:szCs w:val="18"/>
                <w:highlight w:val="none"/>
              </w:rPr>
            </w:pPr>
            <w:r>
              <w:rPr>
                <w:rFonts w:hint="eastAsia" w:ascii="宋体" w:hAnsi="宋体"/>
                <w:color w:val="auto"/>
                <w:sz w:val="18"/>
                <w:szCs w:val="18"/>
                <w:highlight w:val="none"/>
              </w:rPr>
              <w:t>556.40</w:t>
            </w: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202 外交支出</w:t>
            </w:r>
          </w:p>
        </w:tc>
        <w:tc>
          <w:tcPr>
            <w:tcW w:w="1117" w:type="dxa"/>
            <w:shd w:val="clear" w:color="auto" w:fill="auto"/>
          </w:tcPr>
          <w:p>
            <w:pPr>
              <w:jc w:val="right"/>
              <w:rPr>
                <w:rFonts w:ascii="宋体" w:hAnsi="宋体"/>
                <w:color w:val="auto"/>
                <w:sz w:val="18"/>
                <w:szCs w:val="18"/>
                <w:highlight w:val="none"/>
              </w:rPr>
            </w:pPr>
          </w:p>
        </w:tc>
        <w:tc>
          <w:tcPr>
            <w:tcW w:w="1063" w:type="dxa"/>
            <w:gridSpan w:val="2"/>
            <w:shd w:val="clear" w:color="auto" w:fill="auto"/>
          </w:tcPr>
          <w:p>
            <w:pPr>
              <w:jc w:val="right"/>
              <w:rPr>
                <w:rFonts w:ascii="宋体" w:hAnsi="宋体"/>
                <w:color w:val="auto"/>
                <w:sz w:val="18"/>
                <w:szCs w:val="18"/>
                <w:highlight w:val="none"/>
              </w:rPr>
            </w:pPr>
          </w:p>
        </w:tc>
        <w:tc>
          <w:tcPr>
            <w:tcW w:w="1063" w:type="dxa"/>
            <w:gridSpan w:val="2"/>
          </w:tcPr>
          <w:p>
            <w:pPr>
              <w:jc w:val="right"/>
              <w:rPr>
                <w:rFonts w:ascii="宋体" w:hAnsi="宋体"/>
                <w:color w:val="auto"/>
                <w:sz w:val="18"/>
                <w:szCs w:val="18"/>
                <w:highlight w:val="none"/>
              </w:rPr>
            </w:pPr>
          </w:p>
        </w:tc>
        <w:tc>
          <w:tcPr>
            <w:tcW w:w="1051" w:type="dxa"/>
            <w:shd w:val="clear" w:color="auto" w:fill="auto"/>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auto"/>
                <w:sz w:val="18"/>
                <w:szCs w:val="18"/>
                <w:highlight w:val="none"/>
              </w:rPr>
            </w:pPr>
            <w:r>
              <w:rPr>
                <w:rFonts w:hint="eastAsia"/>
                <w:color w:val="auto"/>
                <w:sz w:val="18"/>
                <w:szCs w:val="18"/>
                <w:highlight w:val="none"/>
              </w:rPr>
              <w:t>政府性基金预算</w:t>
            </w:r>
          </w:p>
        </w:tc>
        <w:tc>
          <w:tcPr>
            <w:tcW w:w="1117" w:type="dxa"/>
            <w:shd w:val="clear" w:color="auto" w:fill="auto"/>
          </w:tcPr>
          <w:p>
            <w:pPr>
              <w:jc w:val="right"/>
              <w:rPr>
                <w:rFonts w:ascii="宋体" w:hAnsi="宋体"/>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203 国防支出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auto"/>
                <w:sz w:val="18"/>
                <w:szCs w:val="18"/>
                <w:highlight w:val="none"/>
              </w:rPr>
            </w:pPr>
            <w:r>
              <w:rPr>
                <w:rFonts w:hint="eastAsia"/>
                <w:color w:val="auto"/>
                <w:sz w:val="18"/>
                <w:szCs w:val="18"/>
                <w:highlight w:val="none"/>
              </w:rPr>
              <w:t>国有资本经营预算</w:t>
            </w:r>
          </w:p>
        </w:tc>
        <w:tc>
          <w:tcPr>
            <w:tcW w:w="1117" w:type="dxa"/>
            <w:shd w:val="clear" w:color="auto" w:fill="auto"/>
          </w:tcPr>
          <w:p>
            <w:pPr>
              <w:jc w:val="right"/>
              <w:rPr>
                <w:rFonts w:ascii="宋体" w:hAnsi="宋体"/>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204 公共安全支出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205 教育支出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206 科学技术支出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207 文化旅游体育与传媒支出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208 社会保障和就业支出</w:t>
            </w:r>
          </w:p>
        </w:tc>
        <w:tc>
          <w:tcPr>
            <w:tcW w:w="1117"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50.95</w:t>
            </w:r>
          </w:p>
        </w:tc>
        <w:tc>
          <w:tcPr>
            <w:tcW w:w="1063" w:type="dxa"/>
            <w:gridSpan w:val="2"/>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50.95</w:t>
            </w: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209 社会保险基金支出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210 卫生健康支出</w:t>
            </w:r>
          </w:p>
        </w:tc>
        <w:tc>
          <w:tcPr>
            <w:tcW w:w="1117"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463.74</w:t>
            </w:r>
          </w:p>
        </w:tc>
        <w:tc>
          <w:tcPr>
            <w:tcW w:w="1063" w:type="dxa"/>
            <w:gridSpan w:val="2"/>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463.74</w:t>
            </w: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211 节能环保支出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212 城乡社区支出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213 农林水支出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214 交通运输支出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215 资源勘探工业信息等支出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216 商业服务业等支出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217 金融支出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219 援助其他地区支出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220 自然资源海洋气象等支出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221 住房保障支出</w:t>
            </w:r>
          </w:p>
        </w:tc>
        <w:tc>
          <w:tcPr>
            <w:tcW w:w="1117" w:type="dxa"/>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41.71</w:t>
            </w:r>
          </w:p>
        </w:tc>
        <w:tc>
          <w:tcPr>
            <w:tcW w:w="1063" w:type="dxa"/>
            <w:gridSpan w:val="2"/>
            <w:shd w:val="clear" w:color="auto" w:fill="auto"/>
            <w:vAlign w:val="center"/>
          </w:tcPr>
          <w:p>
            <w:pPr>
              <w:jc w:val="right"/>
              <w:rPr>
                <w:rFonts w:ascii="宋体" w:hAnsi="宋体"/>
                <w:color w:val="auto"/>
                <w:sz w:val="18"/>
                <w:szCs w:val="18"/>
                <w:highlight w:val="none"/>
              </w:rPr>
            </w:pPr>
            <w:r>
              <w:rPr>
                <w:rFonts w:hint="eastAsia" w:ascii="宋体" w:hAnsi="宋体"/>
                <w:color w:val="auto"/>
                <w:sz w:val="18"/>
                <w:szCs w:val="18"/>
                <w:highlight w:val="none"/>
              </w:rPr>
              <w:t>41.71</w:t>
            </w: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222 粮油物资储备支出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223 国有资本经营预算支出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224 灾害防治及应急管理支出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227 预备费</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229 其他支出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230 转移性支出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231 债务还本支出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232 债务付息支出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vAlign w:val="center"/>
          </w:tcPr>
          <w:p>
            <w:pPr>
              <w:rPr>
                <w:rFonts w:ascii="宋体" w:hAnsi="宋体" w:cs="宋体"/>
                <w:color w:val="auto"/>
                <w:sz w:val="18"/>
                <w:szCs w:val="18"/>
                <w:highlight w:val="none"/>
              </w:rPr>
            </w:pPr>
            <w:r>
              <w:rPr>
                <w:rFonts w:hint="eastAsia" w:ascii="宋体" w:hAnsi="宋体"/>
                <w:color w:val="auto"/>
                <w:sz w:val="18"/>
                <w:szCs w:val="18"/>
                <w:highlight w:val="none"/>
              </w:rPr>
              <w:t>233 债务发行费用支出</w:t>
            </w: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auto"/>
                <w:sz w:val="18"/>
                <w:szCs w:val="18"/>
                <w:highlight w:val="none"/>
              </w:rPr>
            </w:pPr>
          </w:p>
        </w:tc>
        <w:tc>
          <w:tcPr>
            <w:tcW w:w="1117" w:type="dxa"/>
            <w:shd w:val="clear" w:color="auto" w:fill="auto"/>
          </w:tcPr>
          <w:p>
            <w:pPr>
              <w:jc w:val="right"/>
              <w:rPr>
                <w:color w:val="auto"/>
                <w:sz w:val="18"/>
                <w:szCs w:val="18"/>
                <w:highlight w:val="none"/>
              </w:rPr>
            </w:pPr>
          </w:p>
        </w:tc>
        <w:tc>
          <w:tcPr>
            <w:tcW w:w="2434" w:type="dxa"/>
            <w:shd w:val="clear" w:color="auto" w:fill="auto"/>
          </w:tcPr>
          <w:p>
            <w:pPr>
              <w:rPr>
                <w:rFonts w:ascii="宋体" w:hAnsi="宋体" w:cs="宋体"/>
                <w:color w:val="auto"/>
                <w:sz w:val="18"/>
                <w:szCs w:val="18"/>
                <w:highlight w:val="none"/>
              </w:rPr>
            </w:pPr>
          </w:p>
        </w:tc>
        <w:tc>
          <w:tcPr>
            <w:tcW w:w="1117" w:type="dxa"/>
            <w:shd w:val="clear" w:color="auto" w:fill="auto"/>
            <w:vAlign w:val="center"/>
          </w:tcPr>
          <w:p>
            <w:pPr>
              <w:jc w:val="right"/>
              <w:rPr>
                <w:rFonts w:ascii="宋体" w:hAnsi="宋体"/>
                <w:color w:val="auto"/>
                <w:sz w:val="18"/>
                <w:szCs w:val="18"/>
                <w:highlight w:val="none"/>
              </w:rPr>
            </w:pPr>
          </w:p>
        </w:tc>
        <w:tc>
          <w:tcPr>
            <w:tcW w:w="1063" w:type="dxa"/>
            <w:gridSpan w:val="2"/>
            <w:shd w:val="clear" w:color="auto" w:fill="auto"/>
            <w:vAlign w:val="center"/>
          </w:tcPr>
          <w:p>
            <w:pPr>
              <w:jc w:val="right"/>
              <w:rPr>
                <w:rFonts w:ascii="宋体" w:hAnsi="宋体"/>
                <w:color w:val="auto"/>
                <w:sz w:val="18"/>
                <w:szCs w:val="18"/>
                <w:highlight w:val="none"/>
              </w:rPr>
            </w:pPr>
          </w:p>
        </w:tc>
        <w:tc>
          <w:tcPr>
            <w:tcW w:w="1063" w:type="dxa"/>
            <w:gridSpan w:val="2"/>
            <w:vAlign w:val="center"/>
          </w:tcPr>
          <w:p>
            <w:pPr>
              <w:jc w:val="right"/>
              <w:rPr>
                <w:rFonts w:ascii="宋体" w:hAnsi="宋体"/>
                <w:color w:val="auto"/>
                <w:sz w:val="18"/>
                <w:szCs w:val="18"/>
                <w:highlight w:val="none"/>
              </w:rPr>
            </w:pPr>
          </w:p>
        </w:tc>
        <w:tc>
          <w:tcPr>
            <w:tcW w:w="1051"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auto"/>
                <w:sz w:val="18"/>
                <w:szCs w:val="18"/>
                <w:highlight w:val="none"/>
              </w:rPr>
            </w:pPr>
            <w:r>
              <w:rPr>
                <w:rFonts w:hint="eastAsia"/>
                <w:b/>
                <w:color w:val="auto"/>
                <w:sz w:val="18"/>
                <w:szCs w:val="18"/>
                <w:highlight w:val="none"/>
              </w:rPr>
              <w:t>收入总计</w:t>
            </w:r>
          </w:p>
        </w:tc>
        <w:tc>
          <w:tcPr>
            <w:tcW w:w="1117" w:type="dxa"/>
            <w:shd w:val="clear" w:color="auto" w:fill="auto"/>
          </w:tcPr>
          <w:p>
            <w:pPr>
              <w:jc w:val="right"/>
              <w:rPr>
                <w:color w:val="auto"/>
                <w:sz w:val="18"/>
                <w:szCs w:val="18"/>
                <w:highlight w:val="none"/>
              </w:rPr>
            </w:pPr>
            <w:r>
              <w:rPr>
                <w:rFonts w:hint="eastAsia" w:ascii="宋体" w:hAnsi="宋体"/>
                <w:b/>
                <w:color w:val="auto"/>
                <w:sz w:val="18"/>
                <w:szCs w:val="18"/>
                <w:highlight w:val="none"/>
              </w:rPr>
              <w:t>556.40</w:t>
            </w:r>
          </w:p>
        </w:tc>
        <w:tc>
          <w:tcPr>
            <w:tcW w:w="2434" w:type="dxa"/>
            <w:shd w:val="clear" w:color="auto" w:fill="auto"/>
          </w:tcPr>
          <w:p>
            <w:pPr>
              <w:jc w:val="center"/>
              <w:rPr>
                <w:rFonts w:ascii="宋体" w:hAnsi="宋体" w:cs="宋体"/>
                <w:color w:val="auto"/>
                <w:sz w:val="18"/>
                <w:szCs w:val="18"/>
                <w:highlight w:val="none"/>
              </w:rPr>
            </w:pPr>
            <w:r>
              <w:rPr>
                <w:rFonts w:hint="eastAsia"/>
                <w:b/>
                <w:color w:val="auto"/>
                <w:sz w:val="18"/>
                <w:szCs w:val="18"/>
                <w:highlight w:val="none"/>
              </w:rPr>
              <w:t>支出总计</w:t>
            </w:r>
          </w:p>
        </w:tc>
        <w:tc>
          <w:tcPr>
            <w:tcW w:w="1117" w:type="dxa"/>
            <w:shd w:val="clear" w:color="auto" w:fill="auto"/>
          </w:tcPr>
          <w:p>
            <w:pPr>
              <w:jc w:val="right"/>
              <w:rPr>
                <w:color w:val="auto"/>
                <w:sz w:val="18"/>
                <w:szCs w:val="18"/>
                <w:highlight w:val="none"/>
              </w:rPr>
            </w:pPr>
            <w:r>
              <w:rPr>
                <w:rFonts w:hint="eastAsia" w:ascii="宋体" w:hAnsi="宋体"/>
                <w:b/>
                <w:color w:val="auto"/>
                <w:sz w:val="18"/>
                <w:szCs w:val="18"/>
                <w:highlight w:val="none"/>
              </w:rPr>
              <w:t>556.40</w:t>
            </w:r>
          </w:p>
        </w:tc>
        <w:tc>
          <w:tcPr>
            <w:tcW w:w="1063" w:type="dxa"/>
            <w:gridSpan w:val="2"/>
            <w:shd w:val="clear" w:color="auto" w:fill="auto"/>
          </w:tcPr>
          <w:p>
            <w:pPr>
              <w:jc w:val="right"/>
              <w:rPr>
                <w:color w:val="auto"/>
                <w:sz w:val="18"/>
                <w:szCs w:val="18"/>
                <w:highlight w:val="none"/>
              </w:rPr>
            </w:pPr>
            <w:r>
              <w:rPr>
                <w:rFonts w:hint="eastAsia" w:ascii="宋体" w:hAnsi="宋体"/>
                <w:b/>
                <w:color w:val="auto"/>
                <w:sz w:val="18"/>
                <w:szCs w:val="18"/>
                <w:highlight w:val="none"/>
              </w:rPr>
              <w:t>556.40</w:t>
            </w:r>
          </w:p>
        </w:tc>
        <w:tc>
          <w:tcPr>
            <w:tcW w:w="1063" w:type="dxa"/>
            <w:gridSpan w:val="2"/>
          </w:tcPr>
          <w:p>
            <w:pPr>
              <w:jc w:val="right"/>
              <w:rPr>
                <w:color w:val="auto"/>
                <w:sz w:val="18"/>
                <w:szCs w:val="18"/>
                <w:highlight w:val="none"/>
              </w:rPr>
            </w:pPr>
          </w:p>
        </w:tc>
        <w:tc>
          <w:tcPr>
            <w:tcW w:w="1051" w:type="dxa"/>
            <w:shd w:val="clear" w:color="auto" w:fill="auto"/>
          </w:tcPr>
          <w:p>
            <w:pPr>
              <w:jc w:val="right"/>
              <w:rPr>
                <w:color w:val="auto"/>
                <w:sz w:val="18"/>
                <w:szCs w:val="18"/>
                <w:highlight w:val="none"/>
              </w:rPr>
            </w:pPr>
          </w:p>
        </w:tc>
      </w:tr>
    </w:tbl>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表5</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一般公共预算支出情况表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编制部门：额敏县医疗保障局</w:t>
            </w:r>
          </w:p>
        </w:tc>
        <w:tc>
          <w:tcPr>
            <w:tcW w:w="1708"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科目</w:t>
            </w:r>
          </w:p>
        </w:tc>
        <w:tc>
          <w:tcPr>
            <w:tcW w:w="4160"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功能分类科目编码</w:t>
            </w:r>
          </w:p>
        </w:tc>
        <w:tc>
          <w:tcPr>
            <w:tcW w:w="4026"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功能分类科目名称</w:t>
            </w:r>
          </w:p>
        </w:tc>
        <w:tc>
          <w:tcPr>
            <w:tcW w:w="136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1366" w:type="dxa"/>
            <w:gridSpan w:val="2"/>
            <w:vMerge w:val="restart"/>
            <w:shd w:val="clear" w:color="auto" w:fill="auto"/>
            <w:vAlign w:val="center"/>
          </w:tcPr>
          <w:p>
            <w:pPr>
              <w:jc w:val="center"/>
              <w:rPr>
                <w:color w:val="auto"/>
                <w:sz w:val="18"/>
                <w:szCs w:val="18"/>
                <w:highlight w:val="none"/>
              </w:rPr>
            </w:pPr>
            <w:r>
              <w:rPr>
                <w:rFonts w:hint="eastAsia"/>
                <w:color w:val="auto"/>
                <w:sz w:val="18"/>
                <w:szCs w:val="18"/>
                <w:highlight w:val="none"/>
              </w:rPr>
              <w:t>基本支出</w:t>
            </w:r>
          </w:p>
        </w:tc>
        <w:tc>
          <w:tcPr>
            <w:tcW w:w="142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项</w:t>
            </w:r>
          </w:p>
        </w:tc>
        <w:tc>
          <w:tcPr>
            <w:tcW w:w="4026" w:type="dxa"/>
            <w:vMerge w:val="continue"/>
            <w:shd w:val="clear" w:color="auto" w:fill="auto"/>
            <w:vAlign w:val="center"/>
          </w:tcPr>
          <w:p>
            <w:pPr>
              <w:jc w:val="center"/>
              <w:rPr>
                <w:color w:val="auto"/>
                <w:sz w:val="18"/>
                <w:szCs w:val="18"/>
                <w:highlight w:val="none"/>
              </w:rPr>
            </w:pPr>
          </w:p>
        </w:tc>
        <w:tc>
          <w:tcPr>
            <w:tcW w:w="1367" w:type="dxa"/>
            <w:vMerge w:val="continue"/>
            <w:shd w:val="clear" w:color="auto" w:fill="auto"/>
            <w:vAlign w:val="center"/>
          </w:tcPr>
          <w:p>
            <w:pPr>
              <w:jc w:val="center"/>
              <w:rPr>
                <w:color w:val="auto"/>
                <w:sz w:val="18"/>
                <w:szCs w:val="18"/>
                <w:highlight w:val="none"/>
              </w:rPr>
            </w:pPr>
          </w:p>
        </w:tc>
        <w:tc>
          <w:tcPr>
            <w:tcW w:w="1366" w:type="dxa"/>
            <w:gridSpan w:val="2"/>
            <w:vMerge w:val="continue"/>
            <w:shd w:val="clear" w:color="auto" w:fill="auto"/>
            <w:vAlign w:val="center"/>
          </w:tcPr>
          <w:p>
            <w:pPr>
              <w:jc w:val="center"/>
              <w:rPr>
                <w:color w:val="auto"/>
                <w:sz w:val="18"/>
                <w:szCs w:val="18"/>
                <w:highlight w:val="none"/>
              </w:rPr>
            </w:pPr>
          </w:p>
        </w:tc>
        <w:tc>
          <w:tcPr>
            <w:tcW w:w="1427"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4026"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367"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366"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1427" w:type="dxa"/>
            <w:shd w:val="clear" w:color="auto" w:fill="auto"/>
            <w:vAlign w:val="center"/>
          </w:tcPr>
          <w:p>
            <w:pPr>
              <w:jc w:val="center"/>
              <w:rPr>
                <w:color w:val="auto"/>
                <w:sz w:val="18"/>
                <w:szCs w:val="18"/>
                <w:highlight w:val="none"/>
              </w:rPr>
            </w:pPr>
            <w:r>
              <w:rPr>
                <w:rFonts w:hint="eastAsia"/>
                <w:color w:val="auto"/>
                <w:sz w:val="18"/>
                <w:szCs w:val="18"/>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总计</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556.40</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511.40</w:t>
            </w:r>
          </w:p>
        </w:tc>
        <w:tc>
          <w:tcPr>
            <w:tcW w:w="142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208</w:t>
            </w:r>
          </w:p>
        </w:tc>
        <w:tc>
          <w:tcPr>
            <w:tcW w:w="567"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社会保障和就业支出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50.95</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50.95</w:t>
            </w:r>
          </w:p>
        </w:tc>
        <w:tc>
          <w:tcPr>
            <w:tcW w:w="1427"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208</w:t>
            </w:r>
          </w:p>
        </w:tc>
        <w:tc>
          <w:tcPr>
            <w:tcW w:w="567"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05</w:t>
            </w: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 xml:space="preserve">  行政事业单位养老支出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50.95</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50.95</w:t>
            </w:r>
          </w:p>
        </w:tc>
        <w:tc>
          <w:tcPr>
            <w:tcW w:w="1427"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208</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05</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01</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行政单位离退休</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1.59</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1.59</w:t>
            </w:r>
          </w:p>
        </w:tc>
        <w:tc>
          <w:tcPr>
            <w:tcW w:w="142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208</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05</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05</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机关事业单位基本养老保险缴费支出</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49.35</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49.35</w:t>
            </w:r>
          </w:p>
        </w:tc>
        <w:tc>
          <w:tcPr>
            <w:tcW w:w="142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210</w:t>
            </w:r>
          </w:p>
        </w:tc>
        <w:tc>
          <w:tcPr>
            <w:tcW w:w="567"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卫生健康支出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463.74</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418.74</w:t>
            </w:r>
          </w:p>
        </w:tc>
        <w:tc>
          <w:tcPr>
            <w:tcW w:w="142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210</w:t>
            </w:r>
          </w:p>
        </w:tc>
        <w:tc>
          <w:tcPr>
            <w:tcW w:w="567"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11</w:t>
            </w: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 xml:space="preserve">  行政事业单位医疗</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66.40</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26.40</w:t>
            </w:r>
          </w:p>
        </w:tc>
        <w:tc>
          <w:tcPr>
            <w:tcW w:w="142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11</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01</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行政单位医疗</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24.38</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24.38</w:t>
            </w:r>
          </w:p>
        </w:tc>
        <w:tc>
          <w:tcPr>
            <w:tcW w:w="142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11</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02</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事业单位医疗</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40.00</w:t>
            </w:r>
          </w:p>
        </w:tc>
        <w:tc>
          <w:tcPr>
            <w:tcW w:w="1366" w:type="dxa"/>
            <w:gridSpan w:val="2"/>
            <w:shd w:val="clear" w:color="auto" w:fill="auto"/>
            <w:vAlign w:val="center"/>
          </w:tcPr>
          <w:p>
            <w:pPr>
              <w:jc w:val="right"/>
              <w:rPr>
                <w:color w:val="auto"/>
                <w:sz w:val="18"/>
                <w:szCs w:val="18"/>
                <w:highlight w:val="none"/>
              </w:rPr>
            </w:pPr>
          </w:p>
        </w:tc>
        <w:tc>
          <w:tcPr>
            <w:tcW w:w="142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11</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03</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公务员医疗补助</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2.02</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2.02</w:t>
            </w:r>
          </w:p>
        </w:tc>
        <w:tc>
          <w:tcPr>
            <w:tcW w:w="142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210</w:t>
            </w:r>
          </w:p>
        </w:tc>
        <w:tc>
          <w:tcPr>
            <w:tcW w:w="567"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15</w:t>
            </w: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 xml:space="preserve">  医疗保障管理事务</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397.35</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392.35</w:t>
            </w:r>
          </w:p>
        </w:tc>
        <w:tc>
          <w:tcPr>
            <w:tcW w:w="142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15</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01</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行政运行</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108.87</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108.87</w:t>
            </w:r>
          </w:p>
        </w:tc>
        <w:tc>
          <w:tcPr>
            <w:tcW w:w="142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15</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50</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事业运行</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283.48</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283.48</w:t>
            </w:r>
          </w:p>
        </w:tc>
        <w:tc>
          <w:tcPr>
            <w:tcW w:w="142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210</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15</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99</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其他医疗保障管理事务支出</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5.00</w:t>
            </w:r>
          </w:p>
        </w:tc>
        <w:tc>
          <w:tcPr>
            <w:tcW w:w="1366" w:type="dxa"/>
            <w:gridSpan w:val="2"/>
            <w:shd w:val="clear" w:color="auto" w:fill="auto"/>
            <w:vAlign w:val="center"/>
          </w:tcPr>
          <w:p>
            <w:pPr>
              <w:jc w:val="right"/>
              <w:rPr>
                <w:color w:val="auto"/>
                <w:sz w:val="18"/>
                <w:szCs w:val="18"/>
                <w:highlight w:val="none"/>
              </w:rPr>
            </w:pPr>
          </w:p>
        </w:tc>
        <w:tc>
          <w:tcPr>
            <w:tcW w:w="142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221</w:t>
            </w:r>
          </w:p>
        </w:tc>
        <w:tc>
          <w:tcPr>
            <w:tcW w:w="567" w:type="dxa"/>
            <w:shd w:val="clear" w:color="auto" w:fill="auto"/>
            <w:vAlign w:val="center"/>
          </w:tcPr>
          <w:p>
            <w:pPr>
              <w:jc w:val="center"/>
              <w:rPr>
                <w:b/>
                <w:color w:val="auto"/>
                <w:sz w:val="18"/>
                <w:szCs w:val="18"/>
                <w:highlight w:val="none"/>
              </w:rPr>
            </w:pP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住房保障支出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41.71</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41.71</w:t>
            </w:r>
          </w:p>
        </w:tc>
        <w:tc>
          <w:tcPr>
            <w:tcW w:w="1427"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221</w:t>
            </w:r>
          </w:p>
        </w:tc>
        <w:tc>
          <w:tcPr>
            <w:tcW w:w="567" w:type="dxa"/>
            <w:shd w:val="clear" w:color="auto" w:fill="auto"/>
            <w:vAlign w:val="center"/>
          </w:tcPr>
          <w:p>
            <w:pPr>
              <w:jc w:val="center"/>
              <w:rPr>
                <w:b/>
                <w:color w:val="auto"/>
                <w:sz w:val="18"/>
                <w:szCs w:val="18"/>
                <w:highlight w:val="none"/>
              </w:rPr>
            </w:pPr>
            <w:r>
              <w:rPr>
                <w:rFonts w:hint="eastAsia" w:ascii="宋体" w:hAnsi="宋体"/>
                <w:b/>
                <w:color w:val="auto"/>
                <w:sz w:val="18"/>
                <w:szCs w:val="18"/>
                <w:highlight w:val="none"/>
              </w:rPr>
              <w:t>02</w:t>
            </w:r>
          </w:p>
        </w:tc>
        <w:tc>
          <w:tcPr>
            <w:tcW w:w="567" w:type="dxa"/>
            <w:shd w:val="clear" w:color="auto" w:fill="auto"/>
            <w:vAlign w:val="center"/>
          </w:tcPr>
          <w:p>
            <w:pPr>
              <w:jc w:val="center"/>
              <w:rPr>
                <w:b/>
                <w:color w:val="auto"/>
                <w:sz w:val="18"/>
                <w:szCs w:val="18"/>
                <w:highlight w:val="none"/>
              </w:rPr>
            </w:pPr>
          </w:p>
        </w:tc>
        <w:tc>
          <w:tcPr>
            <w:tcW w:w="4026" w:type="dxa"/>
            <w:shd w:val="clear" w:color="auto" w:fill="auto"/>
            <w:vAlign w:val="center"/>
          </w:tcPr>
          <w:p>
            <w:pPr>
              <w:jc w:val="left"/>
              <w:rPr>
                <w:b/>
                <w:color w:val="auto"/>
                <w:sz w:val="18"/>
                <w:szCs w:val="18"/>
                <w:highlight w:val="none"/>
              </w:rPr>
            </w:pPr>
            <w:r>
              <w:rPr>
                <w:rFonts w:hint="eastAsia" w:ascii="宋体" w:hAnsi="宋体"/>
                <w:b/>
                <w:color w:val="auto"/>
                <w:sz w:val="18"/>
                <w:szCs w:val="18"/>
                <w:highlight w:val="none"/>
              </w:rPr>
              <w:t xml:space="preserve">  住房改革支出</w:t>
            </w:r>
          </w:p>
        </w:tc>
        <w:tc>
          <w:tcPr>
            <w:tcW w:w="1367" w:type="dxa"/>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41.71</w:t>
            </w:r>
          </w:p>
        </w:tc>
        <w:tc>
          <w:tcPr>
            <w:tcW w:w="1366" w:type="dxa"/>
            <w:gridSpan w:val="2"/>
            <w:shd w:val="clear" w:color="auto" w:fill="auto"/>
            <w:vAlign w:val="center"/>
          </w:tcPr>
          <w:p>
            <w:pPr>
              <w:jc w:val="right"/>
              <w:rPr>
                <w:b/>
                <w:color w:val="auto"/>
                <w:sz w:val="18"/>
                <w:szCs w:val="18"/>
                <w:highlight w:val="none"/>
              </w:rPr>
            </w:pPr>
            <w:r>
              <w:rPr>
                <w:rFonts w:hint="eastAsia" w:ascii="宋体" w:hAnsi="宋体"/>
                <w:b/>
                <w:color w:val="auto"/>
                <w:sz w:val="18"/>
                <w:szCs w:val="18"/>
                <w:highlight w:val="none"/>
              </w:rPr>
              <w:t>41.71</w:t>
            </w:r>
          </w:p>
        </w:tc>
        <w:tc>
          <w:tcPr>
            <w:tcW w:w="1427"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221</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02</w:t>
            </w:r>
          </w:p>
        </w:tc>
        <w:tc>
          <w:tcPr>
            <w:tcW w:w="567" w:type="dxa"/>
            <w:shd w:val="clear" w:color="auto" w:fill="auto"/>
            <w:vAlign w:val="center"/>
          </w:tcPr>
          <w:p>
            <w:pPr>
              <w:jc w:val="center"/>
              <w:rPr>
                <w:color w:val="auto"/>
                <w:sz w:val="18"/>
                <w:szCs w:val="18"/>
                <w:highlight w:val="none"/>
              </w:rPr>
            </w:pPr>
            <w:r>
              <w:rPr>
                <w:rFonts w:hint="eastAsia" w:ascii="宋体" w:hAnsi="宋体"/>
                <w:color w:val="auto"/>
                <w:sz w:val="18"/>
                <w:szCs w:val="18"/>
                <w:highlight w:val="none"/>
              </w:rPr>
              <w:t>01</w:t>
            </w:r>
          </w:p>
        </w:tc>
        <w:tc>
          <w:tcPr>
            <w:tcW w:w="4026" w:type="dxa"/>
            <w:shd w:val="clear" w:color="auto" w:fill="auto"/>
            <w:vAlign w:val="center"/>
          </w:tcPr>
          <w:p>
            <w:pPr>
              <w:jc w:val="left"/>
              <w:rPr>
                <w:color w:val="auto"/>
                <w:sz w:val="18"/>
                <w:szCs w:val="18"/>
                <w:highlight w:val="none"/>
              </w:rPr>
            </w:pPr>
            <w:r>
              <w:rPr>
                <w:rFonts w:hint="eastAsia" w:ascii="宋体" w:hAnsi="宋体"/>
                <w:color w:val="auto"/>
                <w:sz w:val="18"/>
                <w:szCs w:val="18"/>
                <w:highlight w:val="none"/>
              </w:rPr>
              <w:t xml:space="preserve">    住房公积金</w:t>
            </w:r>
          </w:p>
        </w:tc>
        <w:tc>
          <w:tcPr>
            <w:tcW w:w="1367" w:type="dxa"/>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41.71</w:t>
            </w:r>
          </w:p>
        </w:tc>
        <w:tc>
          <w:tcPr>
            <w:tcW w:w="1366" w:type="dxa"/>
            <w:gridSpan w:val="2"/>
            <w:shd w:val="clear" w:color="auto" w:fill="auto"/>
            <w:vAlign w:val="center"/>
          </w:tcPr>
          <w:p>
            <w:pPr>
              <w:jc w:val="right"/>
              <w:rPr>
                <w:color w:val="auto"/>
                <w:sz w:val="18"/>
                <w:szCs w:val="18"/>
                <w:highlight w:val="none"/>
              </w:rPr>
            </w:pPr>
            <w:r>
              <w:rPr>
                <w:rFonts w:hint="eastAsia" w:ascii="宋体" w:hAnsi="宋体"/>
                <w:color w:val="auto"/>
                <w:sz w:val="18"/>
                <w:szCs w:val="18"/>
                <w:highlight w:val="none"/>
              </w:rPr>
              <w:t>41.71</w:t>
            </w:r>
          </w:p>
        </w:tc>
        <w:tc>
          <w:tcPr>
            <w:tcW w:w="1427" w:type="dxa"/>
            <w:shd w:val="clear" w:color="auto" w:fill="auto"/>
            <w:vAlign w:val="center"/>
          </w:tcPr>
          <w:p>
            <w:pPr>
              <w:jc w:val="right"/>
              <w:rPr>
                <w:color w:val="auto"/>
                <w:sz w:val="18"/>
                <w:szCs w:val="18"/>
                <w:highlight w:val="none"/>
              </w:rPr>
            </w:pPr>
          </w:p>
        </w:tc>
      </w:tr>
    </w:tbl>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表6</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一般公共预算基本支出情况表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编制部门：额敏县医疗保障局</w:t>
            </w:r>
          </w:p>
        </w:tc>
        <w:tc>
          <w:tcPr>
            <w:tcW w:w="1708"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科目</w:t>
            </w:r>
          </w:p>
        </w:tc>
        <w:tc>
          <w:tcPr>
            <w:tcW w:w="4160"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经济分类科目编码</w:t>
            </w:r>
          </w:p>
        </w:tc>
        <w:tc>
          <w:tcPr>
            <w:tcW w:w="4593"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经济分类科目名称</w:t>
            </w:r>
          </w:p>
        </w:tc>
        <w:tc>
          <w:tcPr>
            <w:tcW w:w="136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1366" w:type="dxa"/>
            <w:gridSpan w:val="2"/>
            <w:vMerge w:val="restart"/>
            <w:shd w:val="clear" w:color="auto" w:fill="auto"/>
            <w:vAlign w:val="center"/>
          </w:tcPr>
          <w:p>
            <w:pPr>
              <w:jc w:val="center"/>
              <w:rPr>
                <w:color w:val="auto"/>
                <w:sz w:val="18"/>
                <w:szCs w:val="18"/>
                <w:highlight w:val="none"/>
              </w:rPr>
            </w:pPr>
            <w:r>
              <w:rPr>
                <w:rFonts w:hint="eastAsia"/>
                <w:color w:val="auto"/>
                <w:sz w:val="18"/>
                <w:szCs w:val="18"/>
                <w:highlight w:val="none"/>
              </w:rPr>
              <w:t>人员经费</w:t>
            </w:r>
          </w:p>
        </w:tc>
        <w:tc>
          <w:tcPr>
            <w:tcW w:w="142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4593" w:type="dxa"/>
            <w:vMerge w:val="continue"/>
            <w:shd w:val="clear" w:color="auto" w:fill="auto"/>
            <w:vAlign w:val="center"/>
          </w:tcPr>
          <w:p>
            <w:pPr>
              <w:jc w:val="center"/>
              <w:rPr>
                <w:color w:val="auto"/>
                <w:sz w:val="18"/>
                <w:szCs w:val="18"/>
                <w:highlight w:val="none"/>
              </w:rPr>
            </w:pPr>
          </w:p>
        </w:tc>
        <w:tc>
          <w:tcPr>
            <w:tcW w:w="1367" w:type="dxa"/>
            <w:vMerge w:val="continue"/>
            <w:shd w:val="clear" w:color="auto" w:fill="auto"/>
            <w:vAlign w:val="center"/>
          </w:tcPr>
          <w:p>
            <w:pPr>
              <w:jc w:val="center"/>
              <w:rPr>
                <w:color w:val="auto"/>
                <w:sz w:val="18"/>
                <w:szCs w:val="18"/>
                <w:highlight w:val="none"/>
              </w:rPr>
            </w:pPr>
          </w:p>
        </w:tc>
        <w:tc>
          <w:tcPr>
            <w:tcW w:w="1366" w:type="dxa"/>
            <w:gridSpan w:val="2"/>
            <w:vMerge w:val="continue"/>
            <w:shd w:val="clear" w:color="auto" w:fill="auto"/>
            <w:vAlign w:val="center"/>
          </w:tcPr>
          <w:p>
            <w:pPr>
              <w:jc w:val="center"/>
              <w:rPr>
                <w:color w:val="auto"/>
                <w:sz w:val="18"/>
                <w:szCs w:val="18"/>
                <w:highlight w:val="none"/>
              </w:rPr>
            </w:pPr>
          </w:p>
        </w:tc>
        <w:tc>
          <w:tcPr>
            <w:tcW w:w="1427"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4593"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367"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366"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1427" w:type="dxa"/>
            <w:shd w:val="clear" w:color="auto" w:fill="auto"/>
            <w:vAlign w:val="center"/>
          </w:tcPr>
          <w:p>
            <w:pPr>
              <w:jc w:val="center"/>
              <w:rPr>
                <w:color w:val="auto"/>
                <w:sz w:val="18"/>
                <w:szCs w:val="18"/>
                <w:highlight w:val="none"/>
              </w:rPr>
            </w:pPr>
            <w:r>
              <w:rPr>
                <w:rFonts w:hint="eastAsia"/>
                <w:color w:val="auto"/>
                <w:sz w:val="18"/>
                <w:szCs w:val="18"/>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color w:val="auto"/>
                <w:sz w:val="18"/>
                <w:szCs w:val="18"/>
                <w:highlight w:val="none"/>
              </w:rPr>
            </w:pPr>
          </w:p>
        </w:tc>
        <w:tc>
          <w:tcPr>
            <w:tcW w:w="567" w:type="dxa"/>
            <w:shd w:val="clear" w:color="auto" w:fill="auto"/>
            <w:vAlign w:val="center"/>
          </w:tcPr>
          <w:p>
            <w:pPr>
              <w:jc w:val="center"/>
              <w:rPr>
                <w:rFonts w:ascii="宋体" w:hAnsi="宋体"/>
                <w:b/>
                <w:color w:val="auto"/>
                <w:sz w:val="18"/>
                <w:szCs w:val="18"/>
                <w:highlight w:val="none"/>
              </w:rPr>
            </w:pPr>
          </w:p>
        </w:tc>
        <w:tc>
          <w:tcPr>
            <w:tcW w:w="4593" w:type="dxa"/>
            <w:shd w:val="clear" w:color="auto" w:fill="auto"/>
            <w:vAlign w:val="center"/>
          </w:tcPr>
          <w:p>
            <w:pPr>
              <w:jc w:val="center"/>
              <w:rPr>
                <w:rFonts w:ascii="宋体" w:hAnsi="宋体"/>
                <w:b/>
                <w:color w:val="auto"/>
                <w:sz w:val="18"/>
                <w:szCs w:val="18"/>
                <w:highlight w:val="none"/>
              </w:rPr>
            </w:pPr>
            <w:r>
              <w:rPr>
                <w:rFonts w:ascii="宋体" w:hAnsi="宋体"/>
                <w:b/>
                <w:color w:val="auto"/>
                <w:sz w:val="18"/>
                <w:szCs w:val="18"/>
                <w:highlight w:val="none"/>
              </w:rPr>
              <w:t>总计</w:t>
            </w:r>
          </w:p>
        </w:tc>
        <w:tc>
          <w:tcPr>
            <w:tcW w:w="136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511.40</w:t>
            </w:r>
          </w:p>
        </w:tc>
        <w:tc>
          <w:tcPr>
            <w:tcW w:w="1366" w:type="dxa"/>
            <w:gridSpan w:val="2"/>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469.99</w:t>
            </w:r>
          </w:p>
        </w:tc>
        <w:tc>
          <w:tcPr>
            <w:tcW w:w="142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41.41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color w:val="auto"/>
                <w:sz w:val="18"/>
                <w:szCs w:val="18"/>
                <w:highlight w:val="none"/>
              </w:rPr>
            </w:pPr>
            <w:r>
              <w:rPr>
                <w:rFonts w:ascii="宋体" w:hAnsi="宋体"/>
                <w:b/>
                <w:color w:val="auto"/>
                <w:sz w:val="18"/>
                <w:szCs w:val="18"/>
                <w:highlight w:val="none"/>
              </w:rPr>
              <w:t>301</w:t>
            </w:r>
          </w:p>
        </w:tc>
        <w:tc>
          <w:tcPr>
            <w:tcW w:w="567" w:type="dxa"/>
            <w:shd w:val="clear" w:color="auto" w:fill="auto"/>
            <w:vAlign w:val="center"/>
          </w:tcPr>
          <w:p>
            <w:pPr>
              <w:jc w:val="center"/>
              <w:rPr>
                <w:rFonts w:ascii="宋体" w:hAnsi="宋体"/>
                <w:b/>
                <w:color w:val="auto"/>
                <w:sz w:val="18"/>
                <w:szCs w:val="18"/>
                <w:highlight w:val="none"/>
              </w:rPr>
            </w:pPr>
          </w:p>
        </w:tc>
        <w:tc>
          <w:tcPr>
            <w:tcW w:w="4593" w:type="dxa"/>
            <w:shd w:val="clear" w:color="auto" w:fill="auto"/>
            <w:vAlign w:val="center"/>
          </w:tcPr>
          <w:p>
            <w:pPr>
              <w:jc w:val="left"/>
              <w:rPr>
                <w:rFonts w:ascii="宋体" w:hAnsi="宋体"/>
                <w:b/>
                <w:color w:val="auto"/>
                <w:sz w:val="18"/>
                <w:szCs w:val="18"/>
                <w:highlight w:val="none"/>
              </w:rPr>
            </w:pPr>
            <w:r>
              <w:rPr>
                <w:rFonts w:ascii="宋体" w:hAnsi="宋体"/>
                <w:b/>
                <w:color w:val="auto"/>
                <w:sz w:val="18"/>
                <w:szCs w:val="18"/>
                <w:highlight w:val="none"/>
              </w:rPr>
              <w:t>工资福利支出</w:t>
            </w:r>
          </w:p>
        </w:tc>
        <w:tc>
          <w:tcPr>
            <w:tcW w:w="136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468.55</w:t>
            </w:r>
          </w:p>
        </w:tc>
        <w:tc>
          <w:tcPr>
            <w:tcW w:w="1366" w:type="dxa"/>
            <w:gridSpan w:val="2"/>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468.55</w:t>
            </w:r>
          </w:p>
        </w:tc>
        <w:tc>
          <w:tcPr>
            <w:tcW w:w="1427" w:type="dxa"/>
            <w:shd w:val="clear" w:color="auto" w:fill="auto"/>
            <w:vAlign w:val="center"/>
          </w:tcPr>
          <w:p>
            <w:pPr>
              <w:jc w:val="right"/>
              <w:rPr>
                <w:rFonts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01</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基本工资</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122.80</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122.80</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02</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津贴补贴</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72.43</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72.43</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03</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奖金</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97.94</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97.94</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07</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绩效工资</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55.48</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55.48</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08</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机关事业单位基本养老保险缴费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49.35</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49.35</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10</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职工基本医疗保险缴费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24.38</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24.38</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11</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公务员医疗补助缴费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2.02</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2.02</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12</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其他社会保障缴费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2.45</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2.45</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301</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13</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住房公积金</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41.71</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41.71</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color w:val="auto"/>
                <w:sz w:val="18"/>
                <w:szCs w:val="18"/>
                <w:highlight w:val="none"/>
              </w:rPr>
            </w:pPr>
            <w:r>
              <w:rPr>
                <w:rFonts w:ascii="宋体" w:hAnsi="宋体"/>
                <w:b/>
                <w:color w:val="auto"/>
                <w:sz w:val="18"/>
                <w:szCs w:val="18"/>
                <w:highlight w:val="none"/>
              </w:rPr>
              <w:t>302</w:t>
            </w:r>
          </w:p>
        </w:tc>
        <w:tc>
          <w:tcPr>
            <w:tcW w:w="567" w:type="dxa"/>
            <w:shd w:val="clear" w:color="auto" w:fill="auto"/>
            <w:vAlign w:val="center"/>
          </w:tcPr>
          <w:p>
            <w:pPr>
              <w:jc w:val="center"/>
              <w:rPr>
                <w:rFonts w:ascii="宋体" w:hAnsi="宋体"/>
                <w:b/>
                <w:color w:val="auto"/>
                <w:sz w:val="18"/>
                <w:szCs w:val="18"/>
                <w:highlight w:val="none"/>
              </w:rPr>
            </w:pPr>
          </w:p>
        </w:tc>
        <w:tc>
          <w:tcPr>
            <w:tcW w:w="4593" w:type="dxa"/>
            <w:shd w:val="clear" w:color="auto" w:fill="auto"/>
            <w:vAlign w:val="center"/>
          </w:tcPr>
          <w:p>
            <w:pPr>
              <w:jc w:val="left"/>
              <w:rPr>
                <w:rFonts w:ascii="宋体" w:hAnsi="宋体"/>
                <w:b/>
                <w:color w:val="auto"/>
                <w:sz w:val="18"/>
                <w:szCs w:val="18"/>
                <w:highlight w:val="none"/>
              </w:rPr>
            </w:pPr>
            <w:r>
              <w:rPr>
                <w:rFonts w:ascii="宋体" w:hAnsi="宋体"/>
                <w:b/>
                <w:color w:val="auto"/>
                <w:sz w:val="18"/>
                <w:szCs w:val="18"/>
                <w:highlight w:val="none"/>
              </w:rPr>
              <w:t>商品和服务支出</w:t>
            </w:r>
          </w:p>
        </w:tc>
        <w:tc>
          <w:tcPr>
            <w:tcW w:w="136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41.41</w:t>
            </w:r>
          </w:p>
        </w:tc>
        <w:tc>
          <w:tcPr>
            <w:tcW w:w="1366" w:type="dxa"/>
            <w:gridSpan w:val="2"/>
            <w:shd w:val="clear" w:color="auto" w:fill="auto"/>
            <w:vAlign w:val="center"/>
          </w:tcPr>
          <w:p>
            <w:pPr>
              <w:jc w:val="right"/>
              <w:rPr>
                <w:rFonts w:ascii="宋体" w:hAnsi="宋体"/>
                <w:b/>
                <w:color w:val="auto"/>
                <w:sz w:val="18"/>
                <w:szCs w:val="18"/>
                <w:highlight w:val="none"/>
              </w:rPr>
            </w:pPr>
          </w:p>
        </w:tc>
        <w:tc>
          <w:tcPr>
            <w:tcW w:w="142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41.41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01</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办公费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12.68</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04</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手续费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0.05</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05</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水费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0.10</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06</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电费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0.70</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07</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邮电费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3.50</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08</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取暖费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2.21</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11</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差旅费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5.00</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13</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维修（护）费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6.20</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培训费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1.00</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17</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公务接待费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0.30</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26</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劳务费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0.30</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27</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委托业务费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1.06</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28</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工会经费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3.38</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29</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福利费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3.23</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31</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公务用车运行维护费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1.50</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302</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39</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其他交通费用</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0.20</w:t>
            </w:r>
          </w:p>
        </w:tc>
        <w:tc>
          <w:tcPr>
            <w:tcW w:w="1366" w:type="dxa"/>
            <w:gridSpan w:val="2"/>
            <w:shd w:val="clear" w:color="auto" w:fill="auto"/>
            <w:vAlign w:val="center"/>
          </w:tcPr>
          <w:p>
            <w:pPr>
              <w:jc w:val="right"/>
              <w:rPr>
                <w:rFonts w:ascii="宋体" w:hAnsi="宋体"/>
                <w:color w:val="auto"/>
                <w:sz w:val="18"/>
                <w:szCs w:val="18"/>
                <w:highlight w:val="none"/>
              </w:rPr>
            </w:pPr>
          </w:p>
        </w:tc>
        <w:tc>
          <w:tcPr>
            <w:tcW w:w="142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color w:val="auto"/>
                <w:sz w:val="18"/>
                <w:szCs w:val="18"/>
                <w:highlight w:val="none"/>
              </w:rPr>
            </w:pPr>
            <w:r>
              <w:rPr>
                <w:rFonts w:ascii="宋体" w:hAnsi="宋体"/>
                <w:b/>
                <w:color w:val="auto"/>
                <w:sz w:val="18"/>
                <w:szCs w:val="18"/>
                <w:highlight w:val="none"/>
              </w:rPr>
              <w:t>303</w:t>
            </w:r>
          </w:p>
        </w:tc>
        <w:tc>
          <w:tcPr>
            <w:tcW w:w="567" w:type="dxa"/>
            <w:shd w:val="clear" w:color="auto" w:fill="auto"/>
            <w:vAlign w:val="center"/>
          </w:tcPr>
          <w:p>
            <w:pPr>
              <w:jc w:val="center"/>
              <w:rPr>
                <w:rFonts w:ascii="宋体" w:hAnsi="宋体"/>
                <w:b/>
                <w:color w:val="auto"/>
                <w:sz w:val="18"/>
                <w:szCs w:val="18"/>
                <w:highlight w:val="none"/>
              </w:rPr>
            </w:pPr>
          </w:p>
        </w:tc>
        <w:tc>
          <w:tcPr>
            <w:tcW w:w="4593" w:type="dxa"/>
            <w:shd w:val="clear" w:color="auto" w:fill="auto"/>
            <w:vAlign w:val="center"/>
          </w:tcPr>
          <w:p>
            <w:pPr>
              <w:jc w:val="left"/>
              <w:rPr>
                <w:rFonts w:ascii="宋体" w:hAnsi="宋体"/>
                <w:b/>
                <w:color w:val="auto"/>
                <w:sz w:val="18"/>
                <w:szCs w:val="18"/>
                <w:highlight w:val="none"/>
              </w:rPr>
            </w:pPr>
            <w:r>
              <w:rPr>
                <w:rFonts w:ascii="宋体" w:hAnsi="宋体"/>
                <w:b/>
                <w:color w:val="auto"/>
                <w:sz w:val="18"/>
                <w:szCs w:val="18"/>
                <w:highlight w:val="none"/>
              </w:rPr>
              <w:t>对个人和家庭的补助</w:t>
            </w:r>
          </w:p>
        </w:tc>
        <w:tc>
          <w:tcPr>
            <w:tcW w:w="1367" w:type="dxa"/>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1.44</w:t>
            </w:r>
          </w:p>
        </w:tc>
        <w:tc>
          <w:tcPr>
            <w:tcW w:w="1366" w:type="dxa"/>
            <w:gridSpan w:val="2"/>
            <w:shd w:val="clear" w:color="auto" w:fill="auto"/>
            <w:vAlign w:val="center"/>
          </w:tcPr>
          <w:p>
            <w:pPr>
              <w:jc w:val="right"/>
              <w:rPr>
                <w:rFonts w:ascii="宋体" w:hAnsi="宋体"/>
                <w:b/>
                <w:color w:val="auto"/>
                <w:sz w:val="18"/>
                <w:szCs w:val="18"/>
                <w:highlight w:val="none"/>
              </w:rPr>
            </w:pPr>
            <w:r>
              <w:rPr>
                <w:rFonts w:ascii="宋体" w:hAnsi="宋体"/>
                <w:b/>
                <w:color w:val="auto"/>
                <w:sz w:val="18"/>
                <w:szCs w:val="18"/>
                <w:highlight w:val="none"/>
              </w:rPr>
              <w:t>1.44</w:t>
            </w:r>
          </w:p>
        </w:tc>
        <w:tc>
          <w:tcPr>
            <w:tcW w:w="1427" w:type="dxa"/>
            <w:shd w:val="clear" w:color="auto" w:fill="auto"/>
            <w:vAlign w:val="center"/>
          </w:tcPr>
          <w:p>
            <w:pPr>
              <w:jc w:val="right"/>
              <w:rPr>
                <w:rFonts w:ascii="宋体" w:hAnsi="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303</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02</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退休费</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1.41</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1.41</w:t>
            </w:r>
          </w:p>
        </w:tc>
        <w:tc>
          <w:tcPr>
            <w:tcW w:w="1427"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303</w:t>
            </w:r>
          </w:p>
        </w:tc>
        <w:tc>
          <w:tcPr>
            <w:tcW w:w="567" w:type="dxa"/>
            <w:shd w:val="clear" w:color="auto" w:fill="auto"/>
            <w:vAlign w:val="center"/>
          </w:tcPr>
          <w:p>
            <w:pPr>
              <w:jc w:val="center"/>
              <w:rPr>
                <w:rFonts w:ascii="宋体" w:hAnsi="宋体"/>
                <w:color w:val="auto"/>
                <w:sz w:val="18"/>
                <w:szCs w:val="18"/>
                <w:highlight w:val="none"/>
              </w:rPr>
            </w:pPr>
            <w:r>
              <w:rPr>
                <w:rFonts w:ascii="宋体" w:hAnsi="宋体"/>
                <w:color w:val="auto"/>
                <w:sz w:val="18"/>
                <w:szCs w:val="18"/>
                <w:highlight w:val="none"/>
              </w:rPr>
              <w:t>09</w:t>
            </w:r>
          </w:p>
        </w:tc>
        <w:tc>
          <w:tcPr>
            <w:tcW w:w="4593" w:type="dxa"/>
            <w:shd w:val="clear" w:color="auto" w:fill="auto"/>
            <w:vAlign w:val="center"/>
          </w:tcPr>
          <w:p>
            <w:pPr>
              <w:jc w:val="left"/>
              <w:rPr>
                <w:rFonts w:ascii="宋体" w:hAnsi="宋体"/>
                <w:color w:val="auto"/>
                <w:sz w:val="18"/>
                <w:szCs w:val="18"/>
                <w:highlight w:val="none"/>
              </w:rPr>
            </w:pPr>
            <w:r>
              <w:rPr>
                <w:rFonts w:ascii="宋体" w:hAnsi="宋体"/>
                <w:color w:val="auto"/>
                <w:sz w:val="18"/>
                <w:szCs w:val="18"/>
                <w:highlight w:val="none"/>
              </w:rPr>
              <w:t xml:space="preserve">  奖励金</w:t>
            </w:r>
          </w:p>
        </w:tc>
        <w:tc>
          <w:tcPr>
            <w:tcW w:w="1367" w:type="dxa"/>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0.04</w:t>
            </w:r>
          </w:p>
        </w:tc>
        <w:tc>
          <w:tcPr>
            <w:tcW w:w="1366" w:type="dxa"/>
            <w:gridSpan w:val="2"/>
            <w:shd w:val="clear" w:color="auto" w:fill="auto"/>
            <w:vAlign w:val="center"/>
          </w:tcPr>
          <w:p>
            <w:pPr>
              <w:jc w:val="right"/>
              <w:rPr>
                <w:rFonts w:ascii="宋体" w:hAnsi="宋体"/>
                <w:color w:val="auto"/>
                <w:sz w:val="18"/>
                <w:szCs w:val="18"/>
                <w:highlight w:val="none"/>
              </w:rPr>
            </w:pPr>
            <w:r>
              <w:rPr>
                <w:rFonts w:ascii="宋体" w:hAnsi="宋体"/>
                <w:color w:val="auto"/>
                <w:sz w:val="18"/>
                <w:szCs w:val="18"/>
                <w:highlight w:val="none"/>
              </w:rPr>
              <w:t>0.04</w:t>
            </w:r>
          </w:p>
        </w:tc>
        <w:tc>
          <w:tcPr>
            <w:tcW w:w="1427" w:type="dxa"/>
            <w:shd w:val="clear" w:color="auto" w:fill="auto"/>
            <w:vAlign w:val="center"/>
          </w:tcPr>
          <w:p>
            <w:pPr>
              <w:jc w:val="right"/>
              <w:rPr>
                <w:rFonts w:ascii="宋体" w:hAnsi="宋体"/>
                <w:color w:val="auto"/>
                <w:sz w:val="18"/>
                <w:szCs w:val="18"/>
                <w:highlight w:val="none"/>
              </w:rPr>
            </w:pPr>
          </w:p>
        </w:tc>
      </w:tr>
    </w:tbl>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表7</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一般公共预算项目支出情况表</w:t>
      </w:r>
    </w:p>
    <w:tbl>
      <w:tblPr>
        <w:tblStyle w:val="6"/>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编制部门：额敏县医疗保障局</w:t>
            </w:r>
          </w:p>
        </w:tc>
        <w:tc>
          <w:tcPr>
            <w:tcW w:w="1863"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科目编码</w:t>
            </w:r>
          </w:p>
        </w:tc>
        <w:tc>
          <w:tcPr>
            <w:tcW w:w="2073"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功能分类科目名称</w:t>
            </w:r>
          </w:p>
        </w:tc>
        <w:tc>
          <w:tcPr>
            <w:tcW w:w="2073"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项目名称</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项目支出合计</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工资福利支出</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商品和服务支出</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对个人和家庭的补助</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债务利息及费用支出</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资本性支出（基本建设）</w:t>
            </w:r>
          </w:p>
        </w:tc>
        <w:tc>
          <w:tcPr>
            <w:tcW w:w="8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资本性支出</w:t>
            </w:r>
          </w:p>
        </w:tc>
        <w:tc>
          <w:tcPr>
            <w:tcW w:w="882"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对企业补助（基本建设）</w:t>
            </w:r>
          </w:p>
        </w:tc>
        <w:tc>
          <w:tcPr>
            <w:tcW w:w="783"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对企业补助</w:t>
            </w:r>
          </w:p>
        </w:tc>
        <w:tc>
          <w:tcPr>
            <w:tcW w:w="98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对社会保障基金补助</w:t>
            </w:r>
          </w:p>
        </w:tc>
        <w:tc>
          <w:tcPr>
            <w:tcW w:w="882"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260"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331" w:type="dxa"/>
            <w:shd w:val="clear" w:color="auto" w:fill="auto"/>
            <w:vAlign w:val="center"/>
          </w:tcPr>
          <w:p>
            <w:pPr>
              <w:jc w:val="center"/>
              <w:rPr>
                <w:color w:val="auto"/>
                <w:sz w:val="18"/>
                <w:szCs w:val="18"/>
                <w:highlight w:val="none"/>
              </w:rPr>
            </w:pPr>
            <w:r>
              <w:rPr>
                <w:rFonts w:hint="eastAsia"/>
                <w:color w:val="auto"/>
                <w:sz w:val="18"/>
                <w:szCs w:val="18"/>
                <w:highlight w:val="none"/>
              </w:rPr>
              <w:t>项</w:t>
            </w:r>
          </w:p>
        </w:tc>
        <w:tc>
          <w:tcPr>
            <w:tcW w:w="2073" w:type="dxa"/>
            <w:vMerge w:val="continue"/>
            <w:shd w:val="clear" w:color="auto" w:fill="auto"/>
            <w:vAlign w:val="center"/>
          </w:tcPr>
          <w:p>
            <w:pPr>
              <w:jc w:val="center"/>
              <w:rPr>
                <w:color w:val="auto"/>
                <w:sz w:val="18"/>
                <w:szCs w:val="18"/>
                <w:highlight w:val="none"/>
              </w:rPr>
            </w:pPr>
          </w:p>
        </w:tc>
        <w:tc>
          <w:tcPr>
            <w:tcW w:w="2073"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1" w:type="dxa"/>
            <w:vMerge w:val="continue"/>
            <w:shd w:val="clear" w:color="auto" w:fill="auto"/>
            <w:vAlign w:val="center"/>
          </w:tcPr>
          <w:p>
            <w:pPr>
              <w:jc w:val="center"/>
              <w:rPr>
                <w:color w:val="auto"/>
                <w:sz w:val="18"/>
                <w:szCs w:val="18"/>
                <w:highlight w:val="none"/>
              </w:rPr>
            </w:pPr>
          </w:p>
        </w:tc>
        <w:tc>
          <w:tcPr>
            <w:tcW w:w="882" w:type="dxa"/>
            <w:vMerge w:val="continue"/>
            <w:shd w:val="clear" w:color="auto" w:fill="auto"/>
          </w:tcPr>
          <w:p>
            <w:pPr>
              <w:jc w:val="center"/>
              <w:rPr>
                <w:color w:val="auto"/>
                <w:sz w:val="18"/>
                <w:szCs w:val="18"/>
                <w:highlight w:val="none"/>
              </w:rPr>
            </w:pPr>
          </w:p>
        </w:tc>
        <w:tc>
          <w:tcPr>
            <w:tcW w:w="783" w:type="dxa"/>
            <w:vMerge w:val="continue"/>
            <w:shd w:val="clear" w:color="auto" w:fill="auto"/>
            <w:vAlign w:val="center"/>
          </w:tcPr>
          <w:p>
            <w:pPr>
              <w:jc w:val="center"/>
              <w:rPr>
                <w:color w:val="auto"/>
                <w:sz w:val="18"/>
                <w:szCs w:val="18"/>
                <w:highlight w:val="none"/>
              </w:rPr>
            </w:pPr>
          </w:p>
        </w:tc>
        <w:tc>
          <w:tcPr>
            <w:tcW w:w="981" w:type="dxa"/>
            <w:vMerge w:val="continue"/>
            <w:shd w:val="clear" w:color="auto" w:fill="auto"/>
          </w:tcPr>
          <w:p>
            <w:pPr>
              <w:jc w:val="center"/>
              <w:rPr>
                <w:color w:val="auto"/>
                <w:sz w:val="18"/>
                <w:szCs w:val="18"/>
                <w:highlight w:val="none"/>
              </w:rPr>
            </w:pPr>
          </w:p>
        </w:tc>
        <w:tc>
          <w:tcPr>
            <w:tcW w:w="882" w:type="dxa"/>
            <w:vMerge w:val="continue"/>
            <w:shd w:val="clear" w:color="auto" w:fill="auto"/>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260"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331"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2073"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2073"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3</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4</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5</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6</w:t>
            </w:r>
          </w:p>
        </w:tc>
        <w:tc>
          <w:tcPr>
            <w:tcW w:w="881" w:type="dxa"/>
            <w:shd w:val="clear" w:color="auto" w:fill="auto"/>
            <w:vAlign w:val="center"/>
          </w:tcPr>
          <w:p>
            <w:pPr>
              <w:jc w:val="center"/>
              <w:rPr>
                <w:color w:val="auto"/>
                <w:sz w:val="18"/>
                <w:szCs w:val="18"/>
                <w:highlight w:val="none"/>
              </w:rPr>
            </w:pPr>
            <w:r>
              <w:rPr>
                <w:rFonts w:hint="eastAsia"/>
                <w:color w:val="auto"/>
                <w:sz w:val="18"/>
                <w:szCs w:val="18"/>
                <w:highlight w:val="none"/>
              </w:rPr>
              <w:t>7</w:t>
            </w:r>
          </w:p>
        </w:tc>
        <w:tc>
          <w:tcPr>
            <w:tcW w:w="882" w:type="dxa"/>
            <w:shd w:val="clear" w:color="auto" w:fill="auto"/>
            <w:vAlign w:val="center"/>
          </w:tcPr>
          <w:p>
            <w:pPr>
              <w:jc w:val="center"/>
              <w:rPr>
                <w:color w:val="auto"/>
                <w:sz w:val="18"/>
                <w:szCs w:val="18"/>
                <w:highlight w:val="none"/>
              </w:rPr>
            </w:pPr>
            <w:r>
              <w:rPr>
                <w:rFonts w:hint="eastAsia"/>
                <w:color w:val="auto"/>
                <w:sz w:val="18"/>
                <w:szCs w:val="18"/>
                <w:highlight w:val="none"/>
              </w:rPr>
              <w:t>8</w:t>
            </w:r>
          </w:p>
        </w:tc>
        <w:tc>
          <w:tcPr>
            <w:tcW w:w="783" w:type="dxa"/>
            <w:shd w:val="clear" w:color="auto" w:fill="auto"/>
            <w:vAlign w:val="center"/>
          </w:tcPr>
          <w:p>
            <w:pPr>
              <w:jc w:val="center"/>
              <w:rPr>
                <w:color w:val="auto"/>
                <w:sz w:val="18"/>
                <w:szCs w:val="18"/>
                <w:highlight w:val="none"/>
              </w:rPr>
            </w:pPr>
            <w:r>
              <w:rPr>
                <w:rFonts w:hint="eastAsia"/>
                <w:color w:val="auto"/>
                <w:sz w:val="18"/>
                <w:szCs w:val="18"/>
                <w:highlight w:val="none"/>
              </w:rPr>
              <w:t>9</w:t>
            </w:r>
          </w:p>
        </w:tc>
        <w:tc>
          <w:tcPr>
            <w:tcW w:w="981" w:type="dxa"/>
            <w:shd w:val="clear" w:color="auto" w:fill="auto"/>
            <w:vAlign w:val="center"/>
          </w:tcPr>
          <w:p>
            <w:pPr>
              <w:jc w:val="center"/>
              <w:rPr>
                <w:color w:val="auto"/>
                <w:sz w:val="18"/>
                <w:szCs w:val="18"/>
                <w:highlight w:val="none"/>
              </w:rPr>
            </w:pPr>
            <w:r>
              <w:rPr>
                <w:rFonts w:hint="eastAsia"/>
                <w:color w:val="auto"/>
                <w:sz w:val="18"/>
                <w:szCs w:val="18"/>
                <w:highlight w:val="none"/>
              </w:rPr>
              <w:t>10</w:t>
            </w:r>
          </w:p>
        </w:tc>
        <w:tc>
          <w:tcPr>
            <w:tcW w:w="882" w:type="dxa"/>
            <w:shd w:val="clear" w:color="auto" w:fill="auto"/>
            <w:vAlign w:val="center"/>
          </w:tcPr>
          <w:p>
            <w:pPr>
              <w:jc w:val="center"/>
              <w:rPr>
                <w:color w:val="auto"/>
                <w:sz w:val="18"/>
                <w:szCs w:val="18"/>
                <w:highlight w:val="none"/>
              </w:rPr>
            </w:pPr>
            <w:r>
              <w:rPr>
                <w:rFonts w:hint="eastAsia"/>
                <w:color w:val="auto"/>
                <w:sz w:val="18"/>
                <w:szCs w:val="18"/>
                <w:highlight w:val="none"/>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color w:val="auto"/>
                <w:sz w:val="18"/>
                <w:szCs w:val="18"/>
                <w:highlight w:val="none"/>
              </w:rPr>
            </w:pPr>
          </w:p>
        </w:tc>
        <w:tc>
          <w:tcPr>
            <w:tcW w:w="260" w:type="dxa"/>
            <w:shd w:val="clear" w:color="auto" w:fill="auto"/>
            <w:vAlign w:val="center"/>
          </w:tcPr>
          <w:p>
            <w:pPr>
              <w:jc w:val="center"/>
              <w:rPr>
                <w:b/>
                <w:color w:val="auto"/>
                <w:sz w:val="18"/>
                <w:szCs w:val="18"/>
                <w:highlight w:val="none"/>
              </w:rPr>
            </w:pPr>
          </w:p>
        </w:tc>
        <w:tc>
          <w:tcPr>
            <w:tcW w:w="331" w:type="dxa"/>
            <w:shd w:val="clear" w:color="auto" w:fill="auto"/>
            <w:vAlign w:val="center"/>
          </w:tcPr>
          <w:p>
            <w:pPr>
              <w:jc w:val="center"/>
              <w:rPr>
                <w:b/>
                <w:color w:val="auto"/>
                <w:sz w:val="18"/>
                <w:szCs w:val="18"/>
                <w:highlight w:val="none"/>
              </w:rPr>
            </w:pPr>
          </w:p>
        </w:tc>
        <w:tc>
          <w:tcPr>
            <w:tcW w:w="2073"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总计</w:t>
            </w:r>
          </w:p>
        </w:tc>
        <w:tc>
          <w:tcPr>
            <w:tcW w:w="2073" w:type="dxa"/>
            <w:shd w:val="clear" w:color="auto" w:fill="auto"/>
            <w:vAlign w:val="center"/>
          </w:tcPr>
          <w:p>
            <w:pPr>
              <w:jc w:val="left"/>
              <w:rPr>
                <w:b/>
                <w:color w:val="auto"/>
                <w:sz w:val="18"/>
                <w:szCs w:val="18"/>
                <w:highlight w:val="none"/>
              </w:rPr>
            </w:pPr>
          </w:p>
        </w:tc>
        <w:tc>
          <w:tcPr>
            <w:tcW w:w="881"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45.00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40.00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5.00</w:t>
            </w: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c>
          <w:tcPr>
            <w:tcW w:w="783" w:type="dxa"/>
            <w:shd w:val="clear" w:color="auto" w:fill="auto"/>
            <w:vAlign w:val="center"/>
          </w:tcPr>
          <w:p>
            <w:pPr>
              <w:jc w:val="right"/>
              <w:rPr>
                <w:b/>
                <w:color w:val="auto"/>
                <w:sz w:val="18"/>
                <w:szCs w:val="18"/>
                <w:highlight w:val="none"/>
              </w:rPr>
            </w:pPr>
          </w:p>
        </w:tc>
        <w:tc>
          <w:tcPr>
            <w:tcW w:w="9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color w:val="auto"/>
                <w:sz w:val="18"/>
                <w:szCs w:val="18"/>
                <w:highlight w:val="none"/>
              </w:rPr>
            </w:pPr>
          </w:p>
        </w:tc>
        <w:tc>
          <w:tcPr>
            <w:tcW w:w="260" w:type="dxa"/>
            <w:shd w:val="clear" w:color="auto" w:fill="auto"/>
            <w:vAlign w:val="center"/>
          </w:tcPr>
          <w:p>
            <w:pPr>
              <w:jc w:val="center"/>
              <w:rPr>
                <w:b/>
                <w:color w:val="auto"/>
                <w:sz w:val="18"/>
                <w:szCs w:val="18"/>
                <w:highlight w:val="none"/>
              </w:rPr>
            </w:pPr>
          </w:p>
        </w:tc>
        <w:tc>
          <w:tcPr>
            <w:tcW w:w="331" w:type="dxa"/>
            <w:shd w:val="clear" w:color="auto" w:fill="auto"/>
            <w:vAlign w:val="center"/>
          </w:tcPr>
          <w:p>
            <w:pPr>
              <w:jc w:val="center"/>
              <w:rPr>
                <w:b/>
                <w:color w:val="auto"/>
                <w:sz w:val="18"/>
                <w:szCs w:val="18"/>
                <w:highlight w:val="none"/>
              </w:rPr>
            </w:pPr>
          </w:p>
        </w:tc>
        <w:tc>
          <w:tcPr>
            <w:tcW w:w="2073" w:type="dxa"/>
            <w:shd w:val="clear" w:color="auto" w:fill="auto"/>
            <w:vAlign w:val="center"/>
          </w:tcPr>
          <w:p>
            <w:pPr>
              <w:jc w:val="left"/>
              <w:rPr>
                <w:b/>
                <w:color w:val="auto"/>
                <w:sz w:val="18"/>
                <w:szCs w:val="18"/>
                <w:highlight w:val="none"/>
              </w:rPr>
            </w:pPr>
            <w:r>
              <w:rPr>
                <w:rFonts w:ascii="宋体" w:hAnsi="宋体"/>
                <w:b/>
                <w:color w:val="auto"/>
                <w:kern w:val="0"/>
                <w:sz w:val="13"/>
                <w:szCs w:val="13"/>
                <w:highlight w:val="none"/>
              </w:rPr>
              <w:t>额敏县医疗保障局</w:t>
            </w:r>
          </w:p>
        </w:tc>
        <w:tc>
          <w:tcPr>
            <w:tcW w:w="2073" w:type="dxa"/>
            <w:shd w:val="clear" w:color="auto" w:fill="auto"/>
            <w:vAlign w:val="center"/>
          </w:tcPr>
          <w:p>
            <w:pPr>
              <w:jc w:val="left"/>
              <w:rPr>
                <w:b/>
                <w:color w:val="auto"/>
                <w:sz w:val="18"/>
                <w:szCs w:val="18"/>
                <w:highlight w:val="none"/>
              </w:rPr>
            </w:pPr>
          </w:p>
        </w:tc>
        <w:tc>
          <w:tcPr>
            <w:tcW w:w="881"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45.00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40.00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5.00</w:t>
            </w: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c>
          <w:tcPr>
            <w:tcW w:w="783" w:type="dxa"/>
            <w:shd w:val="clear" w:color="auto" w:fill="auto"/>
            <w:vAlign w:val="center"/>
          </w:tcPr>
          <w:p>
            <w:pPr>
              <w:jc w:val="right"/>
              <w:rPr>
                <w:b/>
                <w:color w:val="auto"/>
                <w:sz w:val="18"/>
                <w:szCs w:val="18"/>
                <w:highlight w:val="none"/>
              </w:rPr>
            </w:pPr>
          </w:p>
        </w:tc>
        <w:tc>
          <w:tcPr>
            <w:tcW w:w="9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210</w:t>
            </w:r>
          </w:p>
        </w:tc>
        <w:tc>
          <w:tcPr>
            <w:tcW w:w="260" w:type="dxa"/>
            <w:shd w:val="clear" w:color="auto" w:fill="auto"/>
            <w:vAlign w:val="center"/>
          </w:tcPr>
          <w:p>
            <w:pPr>
              <w:jc w:val="center"/>
              <w:rPr>
                <w:b/>
                <w:color w:val="auto"/>
                <w:sz w:val="18"/>
                <w:szCs w:val="18"/>
                <w:highlight w:val="none"/>
              </w:rPr>
            </w:pPr>
          </w:p>
        </w:tc>
        <w:tc>
          <w:tcPr>
            <w:tcW w:w="331" w:type="dxa"/>
            <w:shd w:val="clear" w:color="auto" w:fill="auto"/>
            <w:vAlign w:val="center"/>
          </w:tcPr>
          <w:p>
            <w:pPr>
              <w:jc w:val="center"/>
              <w:rPr>
                <w:b/>
                <w:color w:val="auto"/>
                <w:sz w:val="18"/>
                <w:szCs w:val="18"/>
                <w:highlight w:val="none"/>
              </w:rPr>
            </w:pPr>
          </w:p>
        </w:tc>
        <w:tc>
          <w:tcPr>
            <w:tcW w:w="2073" w:type="dxa"/>
            <w:shd w:val="clear" w:color="auto" w:fill="auto"/>
            <w:vAlign w:val="center"/>
          </w:tcPr>
          <w:p>
            <w:pPr>
              <w:jc w:val="left"/>
              <w:rPr>
                <w:b/>
                <w:color w:val="auto"/>
                <w:sz w:val="18"/>
                <w:szCs w:val="18"/>
                <w:highlight w:val="none"/>
              </w:rPr>
            </w:pPr>
            <w:r>
              <w:rPr>
                <w:rFonts w:ascii="宋体" w:hAnsi="宋体"/>
                <w:b/>
                <w:color w:val="auto"/>
                <w:kern w:val="0"/>
                <w:sz w:val="13"/>
                <w:szCs w:val="13"/>
                <w:highlight w:val="none"/>
              </w:rPr>
              <w:t xml:space="preserve">  卫生健康支出</w:t>
            </w:r>
          </w:p>
        </w:tc>
        <w:tc>
          <w:tcPr>
            <w:tcW w:w="2073" w:type="dxa"/>
            <w:shd w:val="clear" w:color="auto" w:fill="auto"/>
            <w:vAlign w:val="center"/>
          </w:tcPr>
          <w:p>
            <w:pPr>
              <w:jc w:val="left"/>
              <w:rPr>
                <w:b/>
                <w:color w:val="auto"/>
                <w:sz w:val="18"/>
                <w:szCs w:val="18"/>
                <w:highlight w:val="none"/>
              </w:rPr>
            </w:pPr>
          </w:p>
        </w:tc>
        <w:tc>
          <w:tcPr>
            <w:tcW w:w="881"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45.00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40.00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5.00</w:t>
            </w: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c>
          <w:tcPr>
            <w:tcW w:w="783" w:type="dxa"/>
            <w:shd w:val="clear" w:color="auto" w:fill="auto"/>
            <w:vAlign w:val="center"/>
          </w:tcPr>
          <w:p>
            <w:pPr>
              <w:jc w:val="right"/>
              <w:rPr>
                <w:b/>
                <w:color w:val="auto"/>
                <w:sz w:val="18"/>
                <w:szCs w:val="18"/>
                <w:highlight w:val="none"/>
              </w:rPr>
            </w:pPr>
          </w:p>
        </w:tc>
        <w:tc>
          <w:tcPr>
            <w:tcW w:w="9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210</w:t>
            </w:r>
          </w:p>
        </w:tc>
        <w:tc>
          <w:tcPr>
            <w:tcW w:w="260"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11</w:t>
            </w:r>
          </w:p>
        </w:tc>
        <w:tc>
          <w:tcPr>
            <w:tcW w:w="331" w:type="dxa"/>
            <w:shd w:val="clear" w:color="auto" w:fill="auto"/>
            <w:vAlign w:val="center"/>
          </w:tcPr>
          <w:p>
            <w:pPr>
              <w:jc w:val="center"/>
              <w:rPr>
                <w:b/>
                <w:color w:val="auto"/>
                <w:sz w:val="18"/>
                <w:szCs w:val="18"/>
                <w:highlight w:val="none"/>
              </w:rPr>
            </w:pPr>
          </w:p>
        </w:tc>
        <w:tc>
          <w:tcPr>
            <w:tcW w:w="2073" w:type="dxa"/>
            <w:shd w:val="clear" w:color="auto" w:fill="auto"/>
            <w:vAlign w:val="center"/>
          </w:tcPr>
          <w:p>
            <w:pPr>
              <w:jc w:val="left"/>
              <w:rPr>
                <w:b/>
                <w:color w:val="auto"/>
                <w:sz w:val="18"/>
                <w:szCs w:val="18"/>
                <w:highlight w:val="none"/>
              </w:rPr>
            </w:pPr>
            <w:r>
              <w:rPr>
                <w:rFonts w:ascii="宋体" w:hAnsi="宋体"/>
                <w:b/>
                <w:color w:val="auto"/>
                <w:kern w:val="0"/>
                <w:sz w:val="13"/>
                <w:szCs w:val="13"/>
                <w:highlight w:val="none"/>
              </w:rPr>
              <w:t xml:space="preserve">    行政事业单位医疗</w:t>
            </w:r>
          </w:p>
        </w:tc>
        <w:tc>
          <w:tcPr>
            <w:tcW w:w="2073" w:type="dxa"/>
            <w:shd w:val="clear" w:color="auto" w:fill="auto"/>
            <w:vAlign w:val="center"/>
          </w:tcPr>
          <w:p>
            <w:pPr>
              <w:jc w:val="left"/>
              <w:rPr>
                <w:b/>
                <w:color w:val="auto"/>
                <w:sz w:val="18"/>
                <w:szCs w:val="18"/>
                <w:highlight w:val="none"/>
              </w:rPr>
            </w:pPr>
          </w:p>
        </w:tc>
        <w:tc>
          <w:tcPr>
            <w:tcW w:w="881"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40.00</w:t>
            </w: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40.00</w:t>
            </w: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c>
          <w:tcPr>
            <w:tcW w:w="783" w:type="dxa"/>
            <w:shd w:val="clear" w:color="auto" w:fill="auto"/>
            <w:vAlign w:val="center"/>
          </w:tcPr>
          <w:p>
            <w:pPr>
              <w:jc w:val="right"/>
              <w:rPr>
                <w:b/>
                <w:color w:val="auto"/>
                <w:sz w:val="18"/>
                <w:szCs w:val="18"/>
                <w:highlight w:val="none"/>
              </w:rPr>
            </w:pPr>
          </w:p>
        </w:tc>
        <w:tc>
          <w:tcPr>
            <w:tcW w:w="9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210</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11</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02</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事业单位医疗</w:t>
            </w:r>
          </w:p>
        </w:tc>
        <w:tc>
          <w:tcPr>
            <w:tcW w:w="2073" w:type="dxa"/>
            <w:shd w:val="clear" w:color="auto" w:fill="auto"/>
            <w:vAlign w:val="center"/>
          </w:tcPr>
          <w:p>
            <w:pPr>
              <w:jc w:val="left"/>
              <w:rPr>
                <w:color w:val="auto"/>
                <w:sz w:val="18"/>
                <w:szCs w:val="18"/>
                <w:highlight w:val="none"/>
              </w:rPr>
            </w:pP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年离休老干部及二等乙级伤残军人医疗费补助资金项目-县级配套资金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40.00</w:t>
            </w: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40.00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210</w:t>
            </w:r>
          </w:p>
        </w:tc>
        <w:tc>
          <w:tcPr>
            <w:tcW w:w="260" w:type="dxa"/>
            <w:shd w:val="clear" w:color="auto" w:fill="auto"/>
            <w:vAlign w:val="center"/>
          </w:tcPr>
          <w:p>
            <w:pPr>
              <w:jc w:val="center"/>
              <w:rPr>
                <w:b/>
                <w:color w:val="auto"/>
                <w:sz w:val="18"/>
                <w:szCs w:val="18"/>
                <w:highlight w:val="none"/>
              </w:rPr>
            </w:pPr>
            <w:r>
              <w:rPr>
                <w:rFonts w:ascii="宋体" w:hAnsi="宋体"/>
                <w:b/>
                <w:color w:val="auto"/>
                <w:kern w:val="0"/>
                <w:sz w:val="13"/>
                <w:szCs w:val="13"/>
                <w:highlight w:val="none"/>
              </w:rPr>
              <w:t>15</w:t>
            </w:r>
          </w:p>
        </w:tc>
        <w:tc>
          <w:tcPr>
            <w:tcW w:w="331" w:type="dxa"/>
            <w:shd w:val="clear" w:color="auto" w:fill="auto"/>
            <w:vAlign w:val="center"/>
          </w:tcPr>
          <w:p>
            <w:pPr>
              <w:jc w:val="center"/>
              <w:rPr>
                <w:b/>
                <w:color w:val="auto"/>
                <w:sz w:val="18"/>
                <w:szCs w:val="18"/>
                <w:highlight w:val="none"/>
              </w:rPr>
            </w:pPr>
          </w:p>
        </w:tc>
        <w:tc>
          <w:tcPr>
            <w:tcW w:w="2073" w:type="dxa"/>
            <w:shd w:val="clear" w:color="auto" w:fill="auto"/>
            <w:vAlign w:val="center"/>
          </w:tcPr>
          <w:p>
            <w:pPr>
              <w:jc w:val="left"/>
              <w:rPr>
                <w:b/>
                <w:color w:val="auto"/>
                <w:sz w:val="18"/>
                <w:szCs w:val="18"/>
                <w:highlight w:val="none"/>
              </w:rPr>
            </w:pPr>
            <w:r>
              <w:rPr>
                <w:rFonts w:ascii="宋体" w:hAnsi="宋体"/>
                <w:b/>
                <w:color w:val="auto"/>
                <w:kern w:val="0"/>
                <w:sz w:val="13"/>
                <w:szCs w:val="13"/>
                <w:highlight w:val="none"/>
              </w:rPr>
              <w:t xml:space="preserve">    医疗保障管理事务</w:t>
            </w:r>
          </w:p>
        </w:tc>
        <w:tc>
          <w:tcPr>
            <w:tcW w:w="2073" w:type="dxa"/>
            <w:shd w:val="clear" w:color="auto" w:fill="auto"/>
            <w:vAlign w:val="center"/>
          </w:tcPr>
          <w:p>
            <w:pPr>
              <w:jc w:val="left"/>
              <w:rPr>
                <w:b/>
                <w:color w:val="auto"/>
                <w:sz w:val="18"/>
                <w:szCs w:val="18"/>
                <w:highlight w:val="none"/>
              </w:rPr>
            </w:pPr>
          </w:p>
        </w:tc>
        <w:tc>
          <w:tcPr>
            <w:tcW w:w="881" w:type="dxa"/>
            <w:shd w:val="clear" w:color="auto" w:fill="auto"/>
            <w:vAlign w:val="center"/>
          </w:tcPr>
          <w:p>
            <w:pPr>
              <w:ind w:right="-29" w:rightChars="-14"/>
              <w:jc w:val="right"/>
              <w:rPr>
                <w:b/>
                <w:color w:val="auto"/>
                <w:sz w:val="18"/>
                <w:szCs w:val="18"/>
                <w:highlight w:val="none"/>
              </w:rPr>
            </w:pPr>
            <w:r>
              <w:rPr>
                <w:rFonts w:ascii="宋体" w:hAnsi="宋体"/>
                <w:b/>
                <w:color w:val="auto"/>
                <w:kern w:val="0"/>
                <w:sz w:val="13"/>
                <w:szCs w:val="13"/>
                <w:highlight w:val="none"/>
              </w:rPr>
              <w:t>5.00</w:t>
            </w: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r>
              <w:rPr>
                <w:rFonts w:ascii="宋体" w:hAnsi="宋体"/>
                <w:b/>
                <w:color w:val="auto"/>
                <w:kern w:val="0"/>
                <w:sz w:val="13"/>
                <w:szCs w:val="13"/>
                <w:highlight w:val="none"/>
              </w:rPr>
              <w:t>5.00</w:t>
            </w: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c>
          <w:tcPr>
            <w:tcW w:w="783" w:type="dxa"/>
            <w:shd w:val="clear" w:color="auto" w:fill="auto"/>
            <w:vAlign w:val="center"/>
          </w:tcPr>
          <w:p>
            <w:pPr>
              <w:jc w:val="right"/>
              <w:rPr>
                <w:b/>
                <w:color w:val="auto"/>
                <w:sz w:val="18"/>
                <w:szCs w:val="18"/>
                <w:highlight w:val="none"/>
              </w:rPr>
            </w:pPr>
          </w:p>
        </w:tc>
        <w:tc>
          <w:tcPr>
            <w:tcW w:w="981" w:type="dxa"/>
            <w:shd w:val="clear" w:color="auto" w:fill="auto"/>
            <w:vAlign w:val="center"/>
          </w:tcPr>
          <w:p>
            <w:pPr>
              <w:jc w:val="right"/>
              <w:rPr>
                <w:b/>
                <w:color w:val="auto"/>
                <w:sz w:val="18"/>
                <w:szCs w:val="18"/>
                <w:highlight w:val="none"/>
              </w:rPr>
            </w:pPr>
          </w:p>
        </w:tc>
        <w:tc>
          <w:tcPr>
            <w:tcW w:w="882" w:type="dxa"/>
            <w:shd w:val="clear" w:color="auto" w:fill="auto"/>
            <w:vAlign w:val="center"/>
          </w:tcPr>
          <w:p>
            <w:pPr>
              <w:jc w:val="right"/>
              <w:rPr>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210</w:t>
            </w:r>
          </w:p>
        </w:tc>
        <w:tc>
          <w:tcPr>
            <w:tcW w:w="260"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15</w:t>
            </w:r>
          </w:p>
        </w:tc>
        <w:tc>
          <w:tcPr>
            <w:tcW w:w="331" w:type="dxa"/>
            <w:shd w:val="clear" w:color="auto" w:fill="auto"/>
            <w:vAlign w:val="center"/>
          </w:tcPr>
          <w:p>
            <w:pPr>
              <w:jc w:val="center"/>
              <w:rPr>
                <w:color w:val="auto"/>
                <w:sz w:val="18"/>
                <w:szCs w:val="18"/>
                <w:highlight w:val="none"/>
              </w:rPr>
            </w:pPr>
            <w:r>
              <w:rPr>
                <w:rFonts w:ascii="宋体" w:hAnsi="宋体"/>
                <w:color w:val="auto"/>
                <w:kern w:val="0"/>
                <w:sz w:val="13"/>
                <w:szCs w:val="13"/>
                <w:highlight w:val="none"/>
              </w:rPr>
              <w:t>99</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 xml:space="preserve">      其他医疗保障管理事务支出</w:t>
            </w:r>
          </w:p>
        </w:tc>
        <w:tc>
          <w:tcPr>
            <w:tcW w:w="2073" w:type="dxa"/>
            <w:shd w:val="clear" w:color="auto" w:fill="auto"/>
            <w:vAlign w:val="center"/>
          </w:tcPr>
          <w:p>
            <w:pPr>
              <w:jc w:val="left"/>
              <w:rPr>
                <w:color w:val="auto"/>
                <w:sz w:val="18"/>
                <w:szCs w:val="18"/>
                <w:highlight w:val="none"/>
              </w:rPr>
            </w:pPr>
            <w:r>
              <w:rPr>
                <w:rFonts w:ascii="宋体" w:hAnsi="宋体"/>
                <w:color w:val="auto"/>
                <w:kern w:val="0"/>
                <w:sz w:val="13"/>
                <w:szCs w:val="13"/>
                <w:highlight w:val="none"/>
              </w:rPr>
              <w:t>塔地财社〔</w:t>
            </w:r>
            <w:r>
              <w:rPr>
                <w:rFonts w:hint="eastAsia" w:ascii="宋体" w:hAnsi="宋体"/>
                <w:color w:val="auto"/>
                <w:kern w:val="0"/>
                <w:sz w:val="13"/>
                <w:szCs w:val="13"/>
                <w:highlight w:val="none"/>
                <w:lang w:eastAsia="zh-CN"/>
              </w:rPr>
              <w:t>2025</w:t>
            </w:r>
            <w:r>
              <w:rPr>
                <w:rFonts w:ascii="宋体" w:hAnsi="宋体"/>
                <w:color w:val="auto"/>
                <w:kern w:val="0"/>
                <w:sz w:val="13"/>
                <w:szCs w:val="13"/>
                <w:highlight w:val="none"/>
              </w:rPr>
              <w:t>〕99号</w:t>
            </w:r>
            <w:r>
              <w:rPr>
                <w:rFonts w:hint="eastAsia" w:ascii="宋体" w:hAnsi="宋体"/>
                <w:color w:val="auto"/>
                <w:kern w:val="0"/>
                <w:sz w:val="13"/>
                <w:szCs w:val="13"/>
                <w:highlight w:val="none"/>
                <w:lang w:eastAsia="zh-CN"/>
              </w:rPr>
              <w:t>2026</w:t>
            </w:r>
            <w:r>
              <w:rPr>
                <w:rFonts w:ascii="宋体" w:hAnsi="宋体"/>
                <w:color w:val="auto"/>
                <w:kern w:val="0"/>
                <w:sz w:val="13"/>
                <w:szCs w:val="13"/>
                <w:highlight w:val="none"/>
              </w:rPr>
              <w:t>年自治区财政全民参保及医疗保障服务项目补助资金</w:t>
            </w:r>
          </w:p>
        </w:tc>
        <w:tc>
          <w:tcPr>
            <w:tcW w:w="881" w:type="dxa"/>
            <w:shd w:val="clear" w:color="auto" w:fill="auto"/>
            <w:vAlign w:val="center"/>
          </w:tcPr>
          <w:p>
            <w:pPr>
              <w:ind w:right="-29" w:rightChars="-14"/>
              <w:jc w:val="right"/>
              <w:rPr>
                <w:color w:val="auto"/>
                <w:sz w:val="18"/>
                <w:szCs w:val="18"/>
                <w:highlight w:val="none"/>
              </w:rPr>
            </w:pPr>
            <w:r>
              <w:rPr>
                <w:rFonts w:ascii="宋体" w:hAnsi="宋体"/>
                <w:color w:val="auto"/>
                <w:kern w:val="0"/>
                <w:sz w:val="13"/>
                <w:szCs w:val="13"/>
                <w:highlight w:val="none"/>
              </w:rPr>
              <w:t>5.00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r>
              <w:rPr>
                <w:rFonts w:ascii="宋体" w:hAnsi="宋体"/>
                <w:color w:val="auto"/>
                <w:kern w:val="0"/>
                <w:sz w:val="13"/>
                <w:szCs w:val="13"/>
                <w:highlight w:val="none"/>
              </w:rPr>
              <w:t>5.00</w:t>
            </w: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c>
          <w:tcPr>
            <w:tcW w:w="783" w:type="dxa"/>
            <w:shd w:val="clear" w:color="auto" w:fill="auto"/>
            <w:vAlign w:val="center"/>
          </w:tcPr>
          <w:p>
            <w:pPr>
              <w:jc w:val="right"/>
              <w:rPr>
                <w:color w:val="auto"/>
                <w:sz w:val="18"/>
                <w:szCs w:val="18"/>
                <w:highlight w:val="none"/>
              </w:rPr>
            </w:pPr>
          </w:p>
        </w:tc>
        <w:tc>
          <w:tcPr>
            <w:tcW w:w="981" w:type="dxa"/>
            <w:shd w:val="clear" w:color="auto" w:fill="auto"/>
            <w:vAlign w:val="center"/>
          </w:tcPr>
          <w:p>
            <w:pPr>
              <w:jc w:val="right"/>
              <w:rPr>
                <w:color w:val="auto"/>
                <w:sz w:val="18"/>
                <w:szCs w:val="18"/>
                <w:highlight w:val="none"/>
              </w:rPr>
            </w:pPr>
          </w:p>
        </w:tc>
        <w:tc>
          <w:tcPr>
            <w:tcW w:w="882" w:type="dxa"/>
            <w:shd w:val="clear" w:color="auto" w:fill="auto"/>
            <w:vAlign w:val="center"/>
          </w:tcPr>
          <w:p>
            <w:pPr>
              <w:jc w:val="right"/>
              <w:rPr>
                <w:color w:val="auto"/>
                <w:sz w:val="18"/>
                <w:szCs w:val="18"/>
                <w:highlight w:val="none"/>
              </w:rPr>
            </w:pPr>
          </w:p>
        </w:tc>
      </w:tr>
    </w:tbl>
    <w:p>
      <w:pPr>
        <w:widowControl/>
        <w:jc w:val="left"/>
        <w:rPr>
          <w:rFonts w:ascii="仿宋" w:eastAsia="仿宋"/>
          <w:b/>
          <w:color w:val="auto"/>
          <w:szCs w:val="21"/>
          <w:highlight w:val="none"/>
        </w:rPr>
        <w:sectPr>
          <w:pgSz w:w="16838" w:h="11906" w:orient="landscape"/>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表8</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政府性基金预算支出情况表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编制部门：额敏县医疗保障局</w:t>
            </w:r>
          </w:p>
        </w:tc>
        <w:tc>
          <w:tcPr>
            <w:tcW w:w="1918"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科目</w:t>
            </w:r>
          </w:p>
        </w:tc>
        <w:tc>
          <w:tcPr>
            <w:tcW w:w="5670" w:type="dxa"/>
            <w:gridSpan w:val="5"/>
            <w:shd w:val="clear" w:color="auto" w:fill="auto"/>
            <w:vAlign w:val="center"/>
          </w:tcPr>
          <w:p>
            <w:pPr>
              <w:jc w:val="center"/>
              <w:rPr>
                <w:color w:val="auto"/>
                <w:sz w:val="18"/>
                <w:szCs w:val="18"/>
                <w:highlight w:val="none"/>
              </w:rPr>
            </w:pPr>
            <w:r>
              <w:rPr>
                <w:rFonts w:hint="eastAsia"/>
                <w:color w:val="auto"/>
                <w:sz w:val="18"/>
                <w:szCs w:val="18"/>
                <w:highlight w:val="none"/>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功能分类科目编码</w:t>
            </w:r>
          </w:p>
        </w:tc>
        <w:tc>
          <w:tcPr>
            <w:tcW w:w="255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功能分类科目名称</w:t>
            </w:r>
          </w:p>
        </w:tc>
        <w:tc>
          <w:tcPr>
            <w:tcW w:w="1418"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2835"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基本支出</w:t>
            </w:r>
          </w:p>
        </w:tc>
        <w:tc>
          <w:tcPr>
            <w:tcW w:w="141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项</w:t>
            </w:r>
          </w:p>
        </w:tc>
        <w:tc>
          <w:tcPr>
            <w:tcW w:w="2551" w:type="dxa"/>
            <w:vMerge w:val="continue"/>
            <w:shd w:val="clear" w:color="auto" w:fill="auto"/>
            <w:vAlign w:val="center"/>
          </w:tcPr>
          <w:p>
            <w:pPr>
              <w:jc w:val="center"/>
              <w:rPr>
                <w:color w:val="auto"/>
                <w:sz w:val="18"/>
                <w:szCs w:val="18"/>
                <w:highlight w:val="none"/>
              </w:rPr>
            </w:pPr>
          </w:p>
        </w:tc>
        <w:tc>
          <w:tcPr>
            <w:tcW w:w="1418" w:type="dxa"/>
            <w:vMerge w:val="continue"/>
            <w:shd w:val="clear" w:color="auto" w:fill="auto"/>
            <w:vAlign w:val="center"/>
          </w:tcPr>
          <w:p>
            <w:pPr>
              <w:jc w:val="center"/>
              <w:rPr>
                <w:color w:val="auto"/>
                <w:sz w:val="18"/>
                <w:szCs w:val="18"/>
                <w:highlight w:val="none"/>
              </w:rPr>
            </w:pP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人员经费</w:t>
            </w:r>
          </w:p>
        </w:tc>
        <w:tc>
          <w:tcPr>
            <w:tcW w:w="141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公用经费</w:t>
            </w:r>
          </w:p>
        </w:tc>
        <w:tc>
          <w:tcPr>
            <w:tcW w:w="1417"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2551"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418"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141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3</w:t>
            </w: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bl>
    <w:p>
      <w:pPr>
        <w:widowControl/>
        <w:jc w:val="left"/>
        <w:rPr>
          <w:rFonts w:ascii="仿宋" w:eastAsia="仿宋"/>
          <w:b/>
          <w:color w:val="auto"/>
          <w:szCs w:val="21"/>
          <w:highlight w:val="none"/>
        </w:rPr>
      </w:pPr>
      <w:r>
        <w:rPr>
          <w:rFonts w:hint="eastAsia" w:ascii="仿宋" w:eastAsia="仿宋"/>
          <w:b/>
          <w:color w:val="auto"/>
          <w:szCs w:val="21"/>
          <w:highlight w:val="none"/>
        </w:rPr>
        <w:t>额敏县医疗保障局</w:t>
      </w:r>
      <w:r>
        <w:rPr>
          <w:rFonts w:hint="eastAsia" w:ascii="仿宋" w:eastAsia="仿宋"/>
          <w:b/>
          <w:color w:val="auto"/>
          <w:szCs w:val="21"/>
          <w:highlight w:val="none"/>
          <w:lang w:eastAsia="zh-CN"/>
        </w:rPr>
        <w:t>2026</w:t>
      </w:r>
      <w:r>
        <w:rPr>
          <w:rFonts w:hint="eastAsia" w:ascii="仿宋" w:eastAsia="仿宋"/>
          <w:b/>
          <w:color w:val="auto"/>
          <w:szCs w:val="21"/>
          <w:highlight w:val="none"/>
        </w:rPr>
        <w:t>年没有使用政府性基金预算拨款安排的支出，政府性基金预算支出情况表为空表。</w:t>
      </w:r>
    </w:p>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表9</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国有资本经营预算支出情况表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color w:val="auto"/>
                <w:sz w:val="18"/>
                <w:szCs w:val="18"/>
                <w:highlight w:val="none"/>
              </w:rPr>
            </w:pPr>
            <w:r>
              <w:rPr>
                <w:rFonts w:hint="eastAsia"/>
                <w:color w:val="auto"/>
                <w:sz w:val="18"/>
                <w:szCs w:val="18"/>
                <w:highlight w:val="none"/>
              </w:rPr>
              <w:t>编制部门：额敏县医疗保障局</w:t>
            </w:r>
          </w:p>
        </w:tc>
        <w:tc>
          <w:tcPr>
            <w:tcW w:w="1918" w:type="dxa"/>
            <w:gridSpan w:val="2"/>
            <w:tcBorders>
              <w:top w:val="nil"/>
              <w:left w:val="nil"/>
              <w:right w:val="nil"/>
            </w:tcBorders>
            <w:shd w:val="clear" w:color="auto" w:fill="auto"/>
            <w:vAlign w:val="center"/>
          </w:tcPr>
          <w:p>
            <w:pPr>
              <w:jc w:val="right"/>
              <w:rPr>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color w:val="auto"/>
                <w:sz w:val="18"/>
                <w:szCs w:val="18"/>
                <w:highlight w:val="none"/>
              </w:rPr>
            </w:pPr>
            <w:r>
              <w:rPr>
                <w:rFonts w:hint="eastAsia"/>
                <w:color w:val="auto"/>
                <w:sz w:val="18"/>
                <w:szCs w:val="18"/>
                <w:highlight w:val="none"/>
              </w:rPr>
              <w:t>科目</w:t>
            </w:r>
          </w:p>
        </w:tc>
        <w:tc>
          <w:tcPr>
            <w:tcW w:w="5670" w:type="dxa"/>
            <w:gridSpan w:val="5"/>
            <w:shd w:val="clear" w:color="auto" w:fill="auto"/>
            <w:vAlign w:val="center"/>
          </w:tcPr>
          <w:p>
            <w:pPr>
              <w:jc w:val="center"/>
              <w:rPr>
                <w:color w:val="auto"/>
                <w:sz w:val="18"/>
                <w:szCs w:val="18"/>
                <w:highlight w:val="none"/>
              </w:rPr>
            </w:pPr>
            <w:r>
              <w:rPr>
                <w:rFonts w:hint="eastAsia"/>
                <w:color w:val="auto"/>
                <w:sz w:val="18"/>
                <w:szCs w:val="18"/>
                <w:highlight w:val="none"/>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功能分类科目编码</w:t>
            </w:r>
          </w:p>
        </w:tc>
        <w:tc>
          <w:tcPr>
            <w:tcW w:w="2551"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功能分类科目名称</w:t>
            </w:r>
          </w:p>
        </w:tc>
        <w:tc>
          <w:tcPr>
            <w:tcW w:w="1418"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2835"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基本支出</w:t>
            </w:r>
          </w:p>
        </w:tc>
        <w:tc>
          <w:tcPr>
            <w:tcW w:w="141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类</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款</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项</w:t>
            </w:r>
          </w:p>
        </w:tc>
        <w:tc>
          <w:tcPr>
            <w:tcW w:w="2551" w:type="dxa"/>
            <w:vMerge w:val="continue"/>
            <w:shd w:val="clear" w:color="auto" w:fill="auto"/>
            <w:vAlign w:val="center"/>
          </w:tcPr>
          <w:p>
            <w:pPr>
              <w:jc w:val="center"/>
              <w:rPr>
                <w:color w:val="auto"/>
                <w:sz w:val="18"/>
                <w:szCs w:val="18"/>
                <w:highlight w:val="none"/>
              </w:rPr>
            </w:pPr>
          </w:p>
        </w:tc>
        <w:tc>
          <w:tcPr>
            <w:tcW w:w="1418" w:type="dxa"/>
            <w:vMerge w:val="continue"/>
            <w:shd w:val="clear" w:color="auto" w:fill="auto"/>
            <w:vAlign w:val="center"/>
          </w:tcPr>
          <w:p>
            <w:pPr>
              <w:jc w:val="center"/>
              <w:rPr>
                <w:color w:val="auto"/>
                <w:sz w:val="18"/>
                <w:szCs w:val="18"/>
                <w:highlight w:val="none"/>
              </w:rPr>
            </w:pP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人员经费</w:t>
            </w:r>
          </w:p>
        </w:tc>
        <w:tc>
          <w:tcPr>
            <w:tcW w:w="141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公用经费</w:t>
            </w:r>
          </w:p>
        </w:tc>
        <w:tc>
          <w:tcPr>
            <w:tcW w:w="1417"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567"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2551"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418"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2</w:t>
            </w:r>
          </w:p>
        </w:tc>
        <w:tc>
          <w:tcPr>
            <w:tcW w:w="141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3</w:t>
            </w:r>
          </w:p>
        </w:tc>
        <w:tc>
          <w:tcPr>
            <w:tcW w:w="1417" w:type="dxa"/>
            <w:shd w:val="clear" w:color="auto" w:fill="auto"/>
            <w:vAlign w:val="center"/>
          </w:tcPr>
          <w:p>
            <w:pPr>
              <w:jc w:val="center"/>
              <w:rPr>
                <w:color w:val="auto"/>
                <w:sz w:val="18"/>
                <w:szCs w:val="18"/>
                <w:highlight w:val="none"/>
              </w:rPr>
            </w:pPr>
            <w:r>
              <w:rPr>
                <w:rFonts w:hint="eastAsia"/>
                <w:color w:val="auto"/>
                <w:sz w:val="18"/>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567" w:type="dxa"/>
            <w:shd w:val="clear" w:color="auto" w:fill="auto"/>
            <w:vAlign w:val="center"/>
          </w:tcPr>
          <w:p>
            <w:pPr>
              <w:jc w:val="center"/>
              <w:rPr>
                <w:color w:val="auto"/>
                <w:sz w:val="18"/>
                <w:szCs w:val="18"/>
                <w:highlight w:val="none"/>
              </w:rPr>
            </w:pPr>
          </w:p>
        </w:tc>
        <w:tc>
          <w:tcPr>
            <w:tcW w:w="2551" w:type="dxa"/>
            <w:shd w:val="clear" w:color="auto" w:fill="auto"/>
            <w:vAlign w:val="center"/>
          </w:tcPr>
          <w:p>
            <w:pPr>
              <w:jc w:val="left"/>
              <w:rPr>
                <w:color w:val="auto"/>
                <w:sz w:val="18"/>
                <w:szCs w:val="18"/>
                <w:highlight w:val="none"/>
              </w:rPr>
            </w:pPr>
          </w:p>
        </w:tc>
        <w:tc>
          <w:tcPr>
            <w:tcW w:w="1418" w:type="dxa"/>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c>
          <w:tcPr>
            <w:tcW w:w="1418" w:type="dxa"/>
            <w:gridSpan w:val="2"/>
            <w:shd w:val="clear" w:color="auto" w:fill="auto"/>
            <w:vAlign w:val="center"/>
          </w:tcPr>
          <w:p>
            <w:pPr>
              <w:jc w:val="right"/>
              <w:rPr>
                <w:color w:val="auto"/>
                <w:sz w:val="18"/>
                <w:szCs w:val="18"/>
                <w:highlight w:val="none"/>
              </w:rPr>
            </w:pPr>
          </w:p>
        </w:tc>
        <w:tc>
          <w:tcPr>
            <w:tcW w:w="1417" w:type="dxa"/>
            <w:shd w:val="clear" w:color="auto" w:fill="auto"/>
            <w:vAlign w:val="center"/>
          </w:tcPr>
          <w:p>
            <w:pPr>
              <w:jc w:val="right"/>
              <w:rPr>
                <w:color w:val="auto"/>
                <w:sz w:val="18"/>
                <w:szCs w:val="18"/>
                <w:highlight w:val="none"/>
              </w:rPr>
            </w:pPr>
          </w:p>
        </w:tc>
      </w:tr>
    </w:tbl>
    <w:p>
      <w:pPr>
        <w:widowControl/>
        <w:jc w:val="left"/>
        <w:rPr>
          <w:rFonts w:ascii="仿宋" w:eastAsia="仿宋"/>
          <w:b/>
          <w:color w:val="auto"/>
          <w:szCs w:val="21"/>
          <w:highlight w:val="none"/>
        </w:rPr>
      </w:pPr>
      <w:r>
        <w:rPr>
          <w:rFonts w:hint="eastAsia" w:ascii="仿宋" w:eastAsia="仿宋"/>
          <w:b/>
          <w:color w:val="auto"/>
          <w:szCs w:val="21"/>
          <w:highlight w:val="none"/>
        </w:rPr>
        <w:t>额敏县医疗保障局</w:t>
      </w:r>
      <w:r>
        <w:rPr>
          <w:rFonts w:hint="eastAsia" w:ascii="仿宋" w:eastAsia="仿宋"/>
          <w:b/>
          <w:color w:val="auto"/>
          <w:szCs w:val="21"/>
          <w:highlight w:val="none"/>
          <w:lang w:eastAsia="zh-CN"/>
        </w:rPr>
        <w:t>2026</w:t>
      </w:r>
      <w:r>
        <w:rPr>
          <w:rFonts w:hint="eastAsia" w:ascii="仿宋" w:eastAsia="仿宋"/>
          <w:b/>
          <w:color w:val="auto"/>
          <w:szCs w:val="21"/>
          <w:highlight w:val="none"/>
        </w:rPr>
        <w:t>年没有使用国有资本经营预算拨款安排的支出，国有资本经营预算支出情况表为空表。</w:t>
      </w:r>
    </w:p>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表10</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财政拨款“三公”经费支出情况表</w:t>
      </w:r>
    </w:p>
    <w:tbl>
      <w:tblPr>
        <w:tblStyle w:val="6"/>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8" w:type="dxa"/>
            <w:gridSpan w:val="4"/>
            <w:tcBorders>
              <w:top w:val="nil"/>
              <w:left w:val="nil"/>
              <w:right w:val="nil"/>
            </w:tcBorders>
            <w:shd w:val="clear" w:color="auto" w:fill="auto"/>
            <w:vAlign w:val="center"/>
          </w:tcPr>
          <w:p>
            <w:pPr>
              <w:jc w:val="left"/>
              <w:rPr>
                <w:rFonts w:ascii="宋体" w:hAnsi="宋体"/>
                <w:color w:val="auto"/>
                <w:sz w:val="18"/>
                <w:szCs w:val="18"/>
                <w:highlight w:val="none"/>
              </w:rPr>
            </w:pPr>
            <w:r>
              <w:rPr>
                <w:rFonts w:hint="eastAsia"/>
                <w:color w:val="auto"/>
                <w:sz w:val="18"/>
                <w:szCs w:val="18"/>
                <w:highlight w:val="none"/>
              </w:rPr>
              <w:t>编制部门：额敏县医疗保障局</w:t>
            </w:r>
          </w:p>
        </w:tc>
        <w:tc>
          <w:tcPr>
            <w:tcW w:w="1395" w:type="dxa"/>
            <w:tcBorders>
              <w:top w:val="nil"/>
              <w:left w:val="nil"/>
              <w:right w:val="nil"/>
            </w:tcBorders>
            <w:shd w:val="clear" w:color="auto" w:fill="auto"/>
            <w:vAlign w:val="center"/>
          </w:tcPr>
          <w:p>
            <w:pPr>
              <w:jc w:val="right"/>
              <w:rPr>
                <w:rFonts w:ascii="宋体" w:hAnsi="宋体"/>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63" w:type="dxa"/>
            <w:vMerge w:val="restart"/>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“三公”经费支出内容</w:t>
            </w:r>
          </w:p>
        </w:tc>
        <w:tc>
          <w:tcPr>
            <w:tcW w:w="1396" w:type="dxa"/>
            <w:vMerge w:val="restart"/>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合计</w:t>
            </w:r>
          </w:p>
        </w:tc>
        <w:tc>
          <w:tcPr>
            <w:tcW w:w="4154" w:type="dxa"/>
            <w:gridSpan w:val="3"/>
            <w:shd w:val="clear" w:color="auto" w:fill="auto"/>
            <w:vAlign w:val="center"/>
          </w:tcPr>
          <w:p>
            <w:pPr>
              <w:jc w:val="center"/>
              <w:rPr>
                <w:rFonts w:ascii="宋体" w:hAnsi="宋体"/>
                <w:color w:val="auto"/>
                <w:sz w:val="18"/>
                <w:szCs w:val="18"/>
                <w:highlight w:val="none"/>
              </w:rPr>
            </w:pPr>
            <w:r>
              <w:rPr>
                <w:rFonts w:hint="eastAsia"/>
                <w:color w:val="auto"/>
                <w:sz w:val="18"/>
                <w:szCs w:val="18"/>
                <w:highlight w:val="none"/>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63" w:type="dxa"/>
            <w:vMerge w:val="continue"/>
            <w:shd w:val="clear" w:color="auto" w:fill="auto"/>
            <w:vAlign w:val="center"/>
          </w:tcPr>
          <w:p>
            <w:pPr>
              <w:jc w:val="center"/>
              <w:rPr>
                <w:rFonts w:ascii="宋体" w:hAnsi="宋体"/>
                <w:color w:val="auto"/>
                <w:sz w:val="18"/>
                <w:szCs w:val="18"/>
                <w:highlight w:val="none"/>
              </w:rPr>
            </w:pPr>
          </w:p>
        </w:tc>
        <w:tc>
          <w:tcPr>
            <w:tcW w:w="1396" w:type="dxa"/>
            <w:vMerge w:val="continue"/>
            <w:shd w:val="clear" w:color="auto" w:fill="auto"/>
            <w:vAlign w:val="center"/>
          </w:tcPr>
          <w:p>
            <w:pPr>
              <w:jc w:val="center"/>
              <w:rPr>
                <w:rFonts w:ascii="宋体" w:hAnsi="宋体"/>
                <w:color w:val="auto"/>
                <w:sz w:val="18"/>
                <w:szCs w:val="18"/>
                <w:highlight w:val="none"/>
              </w:rPr>
            </w:pPr>
          </w:p>
        </w:tc>
        <w:tc>
          <w:tcPr>
            <w:tcW w:w="139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一般公共预算</w:t>
            </w:r>
          </w:p>
        </w:tc>
        <w:tc>
          <w:tcPr>
            <w:tcW w:w="1363"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政府性基金</w:t>
            </w:r>
          </w:p>
        </w:tc>
        <w:tc>
          <w:tcPr>
            <w:tcW w:w="1395"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63" w:type="dxa"/>
            <w:shd w:val="clear" w:color="auto" w:fill="auto"/>
            <w:vAlign w:val="center"/>
          </w:tcPr>
          <w:p>
            <w:pPr>
              <w:jc w:val="center"/>
              <w:rPr>
                <w:rFonts w:ascii="宋体" w:hAnsi="宋体"/>
                <w:color w:val="auto"/>
                <w:sz w:val="18"/>
                <w:szCs w:val="18"/>
                <w:highlight w:val="none"/>
              </w:rPr>
            </w:pPr>
            <w:r>
              <w:rPr>
                <w:rFonts w:hint="eastAsia"/>
                <w:color w:val="auto"/>
                <w:sz w:val="18"/>
                <w:szCs w:val="18"/>
                <w:highlight w:val="none"/>
              </w:rPr>
              <w:t>※</w:t>
            </w:r>
          </w:p>
        </w:tc>
        <w:tc>
          <w:tcPr>
            <w:tcW w:w="139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1396"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1363"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w:t>
            </w:r>
          </w:p>
        </w:tc>
        <w:tc>
          <w:tcPr>
            <w:tcW w:w="1395" w:type="dxa"/>
            <w:shd w:val="clear" w:color="auto" w:fill="auto"/>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auto"/>
                <w:sz w:val="18"/>
                <w:szCs w:val="18"/>
                <w:highlight w:val="none"/>
              </w:rPr>
            </w:pPr>
            <w:r>
              <w:rPr>
                <w:rFonts w:ascii="宋体" w:hAnsi="宋体"/>
                <w:b/>
                <w:color w:val="auto"/>
                <w:kern w:val="0"/>
                <w:sz w:val="18"/>
                <w:szCs w:val="18"/>
                <w:highlight w:val="none"/>
              </w:rPr>
              <w:t>合计</w:t>
            </w:r>
          </w:p>
        </w:tc>
        <w:tc>
          <w:tcPr>
            <w:tcW w:w="1396" w:type="dxa"/>
            <w:shd w:val="clear" w:color="auto" w:fill="auto"/>
            <w:vAlign w:val="center"/>
          </w:tcPr>
          <w:p>
            <w:pPr>
              <w:jc w:val="right"/>
              <w:rPr>
                <w:rFonts w:ascii="宋体" w:hAnsi="宋体"/>
                <w:color w:val="auto"/>
                <w:sz w:val="18"/>
                <w:szCs w:val="18"/>
                <w:highlight w:val="none"/>
              </w:rPr>
            </w:pPr>
            <w:r>
              <w:rPr>
                <w:rFonts w:ascii="宋体" w:hAnsi="宋体"/>
                <w:b/>
                <w:color w:val="auto"/>
                <w:kern w:val="0"/>
                <w:sz w:val="18"/>
                <w:szCs w:val="18"/>
                <w:highlight w:val="none"/>
              </w:rPr>
              <w:t>1.80</w:t>
            </w:r>
          </w:p>
        </w:tc>
        <w:tc>
          <w:tcPr>
            <w:tcW w:w="1396" w:type="dxa"/>
            <w:shd w:val="clear" w:color="auto" w:fill="auto"/>
            <w:vAlign w:val="center"/>
          </w:tcPr>
          <w:p>
            <w:pPr>
              <w:jc w:val="right"/>
              <w:rPr>
                <w:rFonts w:ascii="宋体" w:hAnsi="宋体"/>
                <w:color w:val="auto"/>
                <w:sz w:val="18"/>
                <w:szCs w:val="18"/>
                <w:highlight w:val="none"/>
              </w:rPr>
            </w:pPr>
            <w:r>
              <w:rPr>
                <w:rFonts w:ascii="宋体" w:hAnsi="宋体"/>
                <w:b/>
                <w:color w:val="auto"/>
                <w:kern w:val="0"/>
                <w:sz w:val="18"/>
                <w:szCs w:val="18"/>
                <w:highlight w:val="none"/>
              </w:rPr>
              <w:t>1.80</w:t>
            </w:r>
          </w:p>
        </w:tc>
        <w:tc>
          <w:tcPr>
            <w:tcW w:w="1363" w:type="dxa"/>
            <w:shd w:val="clear" w:color="auto" w:fill="auto"/>
            <w:vAlign w:val="center"/>
          </w:tcPr>
          <w:p>
            <w:pPr>
              <w:jc w:val="right"/>
              <w:rPr>
                <w:rFonts w:ascii="宋体" w:hAnsi="宋体"/>
                <w:color w:val="auto"/>
                <w:sz w:val="18"/>
                <w:szCs w:val="18"/>
                <w:highlight w:val="none"/>
              </w:rPr>
            </w:pPr>
          </w:p>
        </w:tc>
        <w:tc>
          <w:tcPr>
            <w:tcW w:w="1395"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auto"/>
                <w:sz w:val="18"/>
                <w:szCs w:val="18"/>
                <w:highlight w:val="none"/>
              </w:rPr>
            </w:pPr>
            <w:r>
              <w:rPr>
                <w:rFonts w:ascii="宋体" w:hAnsi="宋体"/>
                <w:color w:val="auto"/>
                <w:kern w:val="0"/>
                <w:sz w:val="18"/>
                <w:szCs w:val="18"/>
                <w:highlight w:val="none"/>
              </w:rPr>
              <w:t>因公出国（境）费</w:t>
            </w:r>
          </w:p>
        </w:tc>
        <w:tc>
          <w:tcPr>
            <w:tcW w:w="1396" w:type="dxa"/>
            <w:shd w:val="clear" w:color="auto" w:fill="auto"/>
            <w:vAlign w:val="center"/>
          </w:tcPr>
          <w:p>
            <w:pPr>
              <w:jc w:val="right"/>
              <w:rPr>
                <w:rFonts w:ascii="宋体" w:hAnsi="宋体"/>
                <w:color w:val="auto"/>
                <w:sz w:val="18"/>
                <w:szCs w:val="18"/>
                <w:highlight w:val="none"/>
              </w:rPr>
            </w:pPr>
          </w:p>
        </w:tc>
        <w:tc>
          <w:tcPr>
            <w:tcW w:w="1396" w:type="dxa"/>
            <w:shd w:val="clear" w:color="auto" w:fill="auto"/>
            <w:vAlign w:val="center"/>
          </w:tcPr>
          <w:p>
            <w:pPr>
              <w:jc w:val="right"/>
              <w:rPr>
                <w:rFonts w:ascii="宋体" w:hAnsi="宋体"/>
                <w:color w:val="auto"/>
                <w:sz w:val="18"/>
                <w:szCs w:val="18"/>
                <w:highlight w:val="none"/>
              </w:rPr>
            </w:pPr>
          </w:p>
        </w:tc>
        <w:tc>
          <w:tcPr>
            <w:tcW w:w="1363" w:type="dxa"/>
            <w:shd w:val="clear" w:color="auto" w:fill="auto"/>
            <w:vAlign w:val="center"/>
          </w:tcPr>
          <w:p>
            <w:pPr>
              <w:jc w:val="right"/>
              <w:rPr>
                <w:rFonts w:ascii="宋体" w:hAnsi="宋体"/>
                <w:color w:val="auto"/>
                <w:sz w:val="18"/>
                <w:szCs w:val="18"/>
                <w:highlight w:val="none"/>
              </w:rPr>
            </w:pPr>
          </w:p>
        </w:tc>
        <w:tc>
          <w:tcPr>
            <w:tcW w:w="1395"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auto"/>
                <w:sz w:val="18"/>
                <w:szCs w:val="18"/>
                <w:highlight w:val="none"/>
              </w:rPr>
            </w:pPr>
            <w:r>
              <w:rPr>
                <w:rFonts w:ascii="宋体" w:hAnsi="宋体"/>
                <w:color w:val="auto"/>
                <w:kern w:val="0"/>
                <w:sz w:val="18"/>
                <w:szCs w:val="18"/>
                <w:highlight w:val="none"/>
              </w:rPr>
              <w:t>公务接待费</w:t>
            </w:r>
          </w:p>
        </w:tc>
        <w:tc>
          <w:tcPr>
            <w:tcW w:w="1396" w:type="dxa"/>
            <w:shd w:val="clear" w:color="auto" w:fill="auto"/>
            <w:vAlign w:val="center"/>
          </w:tcPr>
          <w:p>
            <w:pPr>
              <w:jc w:val="right"/>
              <w:rPr>
                <w:rFonts w:ascii="宋体" w:hAnsi="宋体"/>
                <w:color w:val="auto"/>
                <w:sz w:val="18"/>
                <w:szCs w:val="18"/>
                <w:highlight w:val="none"/>
              </w:rPr>
            </w:pPr>
            <w:r>
              <w:rPr>
                <w:rFonts w:ascii="宋体" w:hAnsi="宋体"/>
                <w:color w:val="auto"/>
                <w:kern w:val="0"/>
                <w:sz w:val="18"/>
                <w:szCs w:val="18"/>
                <w:highlight w:val="none"/>
              </w:rPr>
              <w:t>0.30</w:t>
            </w:r>
          </w:p>
        </w:tc>
        <w:tc>
          <w:tcPr>
            <w:tcW w:w="1396" w:type="dxa"/>
            <w:shd w:val="clear" w:color="auto" w:fill="auto"/>
            <w:vAlign w:val="center"/>
          </w:tcPr>
          <w:p>
            <w:pPr>
              <w:jc w:val="right"/>
              <w:rPr>
                <w:rFonts w:ascii="宋体" w:hAnsi="宋体"/>
                <w:color w:val="auto"/>
                <w:sz w:val="18"/>
                <w:szCs w:val="18"/>
                <w:highlight w:val="none"/>
              </w:rPr>
            </w:pPr>
            <w:r>
              <w:rPr>
                <w:rFonts w:ascii="宋体" w:hAnsi="宋体"/>
                <w:color w:val="auto"/>
                <w:kern w:val="0"/>
                <w:sz w:val="18"/>
                <w:szCs w:val="18"/>
                <w:highlight w:val="none"/>
              </w:rPr>
              <w:t>0.30</w:t>
            </w:r>
          </w:p>
        </w:tc>
        <w:tc>
          <w:tcPr>
            <w:tcW w:w="1363" w:type="dxa"/>
            <w:shd w:val="clear" w:color="auto" w:fill="auto"/>
            <w:vAlign w:val="center"/>
          </w:tcPr>
          <w:p>
            <w:pPr>
              <w:jc w:val="right"/>
              <w:rPr>
                <w:rFonts w:ascii="宋体" w:hAnsi="宋体"/>
                <w:color w:val="auto"/>
                <w:sz w:val="18"/>
                <w:szCs w:val="18"/>
                <w:highlight w:val="none"/>
              </w:rPr>
            </w:pPr>
          </w:p>
        </w:tc>
        <w:tc>
          <w:tcPr>
            <w:tcW w:w="1395"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auto"/>
                <w:sz w:val="18"/>
                <w:szCs w:val="18"/>
                <w:highlight w:val="none"/>
              </w:rPr>
            </w:pPr>
            <w:r>
              <w:rPr>
                <w:rFonts w:ascii="宋体" w:hAnsi="宋体"/>
                <w:b/>
                <w:color w:val="auto"/>
                <w:kern w:val="0"/>
                <w:sz w:val="18"/>
                <w:szCs w:val="18"/>
                <w:highlight w:val="none"/>
              </w:rPr>
              <w:t>公务用车购置及运行费（小计）</w:t>
            </w:r>
          </w:p>
        </w:tc>
        <w:tc>
          <w:tcPr>
            <w:tcW w:w="1396" w:type="dxa"/>
            <w:shd w:val="clear" w:color="auto" w:fill="auto"/>
            <w:vAlign w:val="center"/>
          </w:tcPr>
          <w:p>
            <w:pPr>
              <w:jc w:val="right"/>
              <w:rPr>
                <w:rFonts w:ascii="宋体" w:hAnsi="宋体"/>
                <w:color w:val="auto"/>
                <w:sz w:val="18"/>
                <w:szCs w:val="18"/>
                <w:highlight w:val="none"/>
              </w:rPr>
            </w:pPr>
            <w:r>
              <w:rPr>
                <w:rFonts w:ascii="宋体" w:hAnsi="宋体"/>
                <w:b/>
                <w:color w:val="auto"/>
                <w:kern w:val="0"/>
                <w:sz w:val="18"/>
                <w:szCs w:val="18"/>
                <w:highlight w:val="none"/>
              </w:rPr>
              <w:t>1.50</w:t>
            </w:r>
          </w:p>
        </w:tc>
        <w:tc>
          <w:tcPr>
            <w:tcW w:w="1396" w:type="dxa"/>
            <w:shd w:val="clear" w:color="auto" w:fill="auto"/>
            <w:vAlign w:val="center"/>
          </w:tcPr>
          <w:p>
            <w:pPr>
              <w:jc w:val="right"/>
              <w:rPr>
                <w:rFonts w:ascii="宋体" w:hAnsi="宋体"/>
                <w:color w:val="auto"/>
                <w:sz w:val="18"/>
                <w:szCs w:val="18"/>
                <w:highlight w:val="none"/>
              </w:rPr>
            </w:pPr>
            <w:r>
              <w:rPr>
                <w:rFonts w:ascii="宋体" w:hAnsi="宋体"/>
                <w:b/>
                <w:color w:val="auto"/>
                <w:kern w:val="0"/>
                <w:sz w:val="18"/>
                <w:szCs w:val="18"/>
                <w:highlight w:val="none"/>
              </w:rPr>
              <w:t>1.50</w:t>
            </w:r>
          </w:p>
        </w:tc>
        <w:tc>
          <w:tcPr>
            <w:tcW w:w="1363" w:type="dxa"/>
            <w:shd w:val="clear" w:color="auto" w:fill="auto"/>
            <w:vAlign w:val="center"/>
          </w:tcPr>
          <w:p>
            <w:pPr>
              <w:jc w:val="right"/>
              <w:rPr>
                <w:rFonts w:ascii="宋体" w:hAnsi="宋体"/>
                <w:color w:val="auto"/>
                <w:sz w:val="18"/>
                <w:szCs w:val="18"/>
                <w:highlight w:val="none"/>
              </w:rPr>
            </w:pPr>
          </w:p>
        </w:tc>
        <w:tc>
          <w:tcPr>
            <w:tcW w:w="1395"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auto"/>
                <w:sz w:val="18"/>
                <w:szCs w:val="18"/>
                <w:highlight w:val="none"/>
              </w:rPr>
            </w:pPr>
            <w:r>
              <w:rPr>
                <w:rFonts w:ascii="宋体" w:hAnsi="宋体"/>
                <w:color w:val="auto"/>
                <w:kern w:val="0"/>
                <w:sz w:val="18"/>
                <w:szCs w:val="18"/>
                <w:highlight w:val="none"/>
              </w:rPr>
              <w:t>其中：公务用车购置费</w:t>
            </w:r>
          </w:p>
        </w:tc>
        <w:tc>
          <w:tcPr>
            <w:tcW w:w="1396" w:type="dxa"/>
            <w:shd w:val="clear" w:color="auto" w:fill="auto"/>
            <w:vAlign w:val="center"/>
          </w:tcPr>
          <w:p>
            <w:pPr>
              <w:jc w:val="right"/>
              <w:rPr>
                <w:rFonts w:ascii="宋体" w:hAnsi="宋体"/>
                <w:color w:val="auto"/>
                <w:sz w:val="18"/>
                <w:szCs w:val="18"/>
                <w:highlight w:val="none"/>
              </w:rPr>
            </w:pPr>
          </w:p>
        </w:tc>
        <w:tc>
          <w:tcPr>
            <w:tcW w:w="1396" w:type="dxa"/>
            <w:shd w:val="clear" w:color="auto" w:fill="auto"/>
            <w:vAlign w:val="center"/>
          </w:tcPr>
          <w:p>
            <w:pPr>
              <w:jc w:val="right"/>
              <w:rPr>
                <w:rFonts w:ascii="宋体" w:hAnsi="宋体"/>
                <w:color w:val="auto"/>
                <w:sz w:val="18"/>
                <w:szCs w:val="18"/>
                <w:highlight w:val="none"/>
              </w:rPr>
            </w:pPr>
          </w:p>
        </w:tc>
        <w:tc>
          <w:tcPr>
            <w:tcW w:w="1363" w:type="dxa"/>
            <w:shd w:val="clear" w:color="auto" w:fill="auto"/>
            <w:vAlign w:val="center"/>
          </w:tcPr>
          <w:p>
            <w:pPr>
              <w:jc w:val="right"/>
              <w:rPr>
                <w:rFonts w:ascii="宋体" w:hAnsi="宋体"/>
                <w:color w:val="auto"/>
                <w:sz w:val="18"/>
                <w:szCs w:val="18"/>
                <w:highlight w:val="none"/>
              </w:rPr>
            </w:pPr>
          </w:p>
        </w:tc>
        <w:tc>
          <w:tcPr>
            <w:tcW w:w="1395" w:type="dxa"/>
            <w:shd w:val="clear" w:color="auto" w:fill="auto"/>
            <w:vAlign w:val="center"/>
          </w:tcPr>
          <w:p>
            <w:pPr>
              <w:jc w:val="right"/>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auto"/>
                <w:sz w:val="18"/>
                <w:szCs w:val="18"/>
                <w:highlight w:val="none"/>
              </w:rPr>
            </w:pPr>
            <w:r>
              <w:rPr>
                <w:rFonts w:ascii="宋体" w:hAnsi="宋体"/>
                <w:color w:val="auto"/>
                <w:kern w:val="0"/>
                <w:sz w:val="18"/>
                <w:szCs w:val="18"/>
                <w:highlight w:val="none"/>
              </w:rPr>
              <w:t xml:space="preserve">      公务用车运行费</w:t>
            </w:r>
          </w:p>
        </w:tc>
        <w:tc>
          <w:tcPr>
            <w:tcW w:w="1396" w:type="dxa"/>
            <w:shd w:val="clear" w:color="auto" w:fill="auto"/>
            <w:vAlign w:val="center"/>
          </w:tcPr>
          <w:p>
            <w:pPr>
              <w:jc w:val="right"/>
              <w:rPr>
                <w:rFonts w:ascii="宋体" w:hAnsi="宋体"/>
                <w:color w:val="auto"/>
                <w:sz w:val="18"/>
                <w:szCs w:val="18"/>
                <w:highlight w:val="none"/>
              </w:rPr>
            </w:pPr>
            <w:r>
              <w:rPr>
                <w:rFonts w:ascii="宋体" w:hAnsi="宋体"/>
                <w:color w:val="auto"/>
                <w:kern w:val="0"/>
                <w:sz w:val="18"/>
                <w:szCs w:val="18"/>
                <w:highlight w:val="none"/>
              </w:rPr>
              <w:t>1.50</w:t>
            </w:r>
          </w:p>
        </w:tc>
        <w:tc>
          <w:tcPr>
            <w:tcW w:w="1396" w:type="dxa"/>
            <w:shd w:val="clear" w:color="auto" w:fill="auto"/>
            <w:vAlign w:val="center"/>
          </w:tcPr>
          <w:p>
            <w:pPr>
              <w:jc w:val="right"/>
              <w:rPr>
                <w:rFonts w:ascii="宋体" w:hAnsi="宋体"/>
                <w:color w:val="auto"/>
                <w:sz w:val="18"/>
                <w:szCs w:val="18"/>
                <w:highlight w:val="none"/>
              </w:rPr>
            </w:pPr>
            <w:r>
              <w:rPr>
                <w:rFonts w:ascii="宋体" w:hAnsi="宋体"/>
                <w:color w:val="auto"/>
                <w:kern w:val="0"/>
                <w:sz w:val="18"/>
                <w:szCs w:val="18"/>
                <w:highlight w:val="none"/>
              </w:rPr>
              <w:t>1.50</w:t>
            </w:r>
          </w:p>
        </w:tc>
        <w:tc>
          <w:tcPr>
            <w:tcW w:w="1363" w:type="dxa"/>
            <w:shd w:val="clear" w:color="auto" w:fill="auto"/>
            <w:vAlign w:val="center"/>
          </w:tcPr>
          <w:p>
            <w:pPr>
              <w:jc w:val="right"/>
              <w:rPr>
                <w:rFonts w:ascii="宋体" w:hAnsi="宋体"/>
                <w:color w:val="auto"/>
                <w:sz w:val="18"/>
                <w:szCs w:val="18"/>
                <w:highlight w:val="none"/>
              </w:rPr>
            </w:pPr>
          </w:p>
        </w:tc>
        <w:tc>
          <w:tcPr>
            <w:tcW w:w="1395" w:type="dxa"/>
            <w:shd w:val="clear" w:color="auto" w:fill="auto"/>
            <w:vAlign w:val="center"/>
          </w:tcPr>
          <w:p>
            <w:pPr>
              <w:jc w:val="right"/>
              <w:rPr>
                <w:rFonts w:ascii="宋体" w:hAnsi="宋体"/>
                <w:color w:val="auto"/>
                <w:sz w:val="18"/>
                <w:szCs w:val="18"/>
                <w:highlight w:val="none"/>
              </w:rPr>
            </w:pPr>
          </w:p>
        </w:tc>
      </w:tr>
    </w:tbl>
    <w:p>
      <w:pPr>
        <w:widowControl/>
        <w:jc w:val="left"/>
        <w:rPr>
          <w:rFonts w:ascii="仿宋" w:eastAsia="仿宋"/>
          <w:b/>
          <w:color w:val="auto"/>
          <w:szCs w:val="21"/>
          <w:highlight w:val="none"/>
        </w:rPr>
        <w:sectPr>
          <w:pgSz w:w="11906" w:h="16838"/>
          <w:pgMar w:top="1134" w:right="1134" w:bottom="1134" w:left="1134" w:header="851" w:footer="992" w:gutter="0"/>
          <w:cols w:space="425" w:num="1"/>
          <w:docGrid w:type="lines" w:linePitch="312" w:charSpace="0"/>
        </w:sectPr>
      </w:pPr>
    </w:p>
    <w:p>
      <w:pPr>
        <w:rPr>
          <w:color w:val="auto"/>
          <w:highlight w:val="none"/>
        </w:rPr>
      </w:pPr>
      <w:r>
        <w:rPr>
          <w:rFonts w:hint="eastAsia" w:ascii="宋体" w:hAnsi="宋体"/>
          <w:color w:val="auto"/>
          <w:sz w:val="18"/>
          <w:szCs w:val="18"/>
          <w:highlight w:val="none"/>
        </w:rPr>
        <w:t>表11</w:t>
      </w:r>
    </w:p>
    <w:p>
      <w:pPr>
        <w:jc w:val="center"/>
        <w:rPr>
          <w:rFonts w:ascii="仿宋" w:hAnsi="宋体" w:eastAsia="仿宋"/>
          <w:b/>
          <w:color w:val="auto"/>
          <w:sz w:val="28"/>
          <w:szCs w:val="28"/>
          <w:highlight w:val="none"/>
        </w:rPr>
      </w:pPr>
      <w:r>
        <w:rPr>
          <w:rFonts w:hint="eastAsia" w:ascii="仿宋" w:hAnsi="宋体" w:eastAsia="仿宋"/>
          <w:b/>
          <w:color w:val="auto"/>
          <w:sz w:val="28"/>
          <w:szCs w:val="28"/>
          <w:highlight w:val="none"/>
        </w:rPr>
        <w:t>上年结转结余情况明细表</w:t>
      </w:r>
    </w:p>
    <w:tbl>
      <w:tblPr>
        <w:tblStyle w:val="6"/>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auto"/>
                <w:sz w:val="18"/>
                <w:szCs w:val="18"/>
                <w:highlight w:val="none"/>
              </w:rPr>
            </w:pPr>
            <w:r>
              <w:rPr>
                <w:rFonts w:hint="eastAsia"/>
                <w:color w:val="auto"/>
                <w:sz w:val="18"/>
                <w:szCs w:val="18"/>
                <w:highlight w:val="none"/>
              </w:rPr>
              <w:t>编制部门：额敏县医疗保障局</w:t>
            </w:r>
          </w:p>
        </w:tc>
        <w:tc>
          <w:tcPr>
            <w:tcW w:w="4254" w:type="dxa"/>
            <w:gridSpan w:val="5"/>
            <w:tcBorders>
              <w:top w:val="nil"/>
              <w:left w:val="nil"/>
              <w:right w:val="nil"/>
            </w:tcBorders>
          </w:tcPr>
          <w:p>
            <w:pPr>
              <w:jc w:val="right"/>
              <w:rPr>
                <w:rFonts w:hint="eastAsia"/>
                <w:color w:val="auto"/>
                <w:sz w:val="18"/>
                <w:szCs w:val="18"/>
                <w:highlight w:val="none"/>
              </w:rPr>
            </w:pPr>
            <w:r>
              <w:rPr>
                <w:rFonts w:hint="eastAsia"/>
                <w:color w:val="auto"/>
                <w:sz w:val="18"/>
                <w:szCs w:val="18"/>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项目</w:t>
            </w:r>
          </w:p>
        </w:tc>
        <w:tc>
          <w:tcPr>
            <w:tcW w:w="1247"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合计</w:t>
            </w:r>
          </w:p>
        </w:tc>
        <w:tc>
          <w:tcPr>
            <w:tcW w:w="4988" w:type="dxa"/>
            <w:gridSpan w:val="4"/>
            <w:vAlign w:val="center"/>
          </w:tcPr>
          <w:p>
            <w:pPr>
              <w:jc w:val="center"/>
              <w:rPr>
                <w:rFonts w:hint="eastAsia"/>
                <w:color w:val="auto"/>
                <w:sz w:val="18"/>
                <w:szCs w:val="18"/>
                <w:highlight w:val="none"/>
              </w:rPr>
            </w:pPr>
            <w:r>
              <w:rPr>
                <w:rFonts w:hint="eastAsia"/>
                <w:color w:val="auto"/>
                <w:sz w:val="18"/>
                <w:szCs w:val="18"/>
                <w:highlight w:val="none"/>
              </w:rPr>
              <w:t>财政拨款</w:t>
            </w:r>
          </w:p>
        </w:tc>
        <w:tc>
          <w:tcPr>
            <w:tcW w:w="4988" w:type="dxa"/>
            <w:gridSpan w:val="5"/>
            <w:vAlign w:val="center"/>
          </w:tcPr>
          <w:p>
            <w:pPr>
              <w:jc w:val="center"/>
              <w:rPr>
                <w:rFonts w:hint="eastAsia"/>
                <w:color w:val="auto"/>
                <w:sz w:val="18"/>
                <w:szCs w:val="18"/>
                <w:highlight w:val="none"/>
              </w:rPr>
            </w:pPr>
            <w:r>
              <w:rPr>
                <w:rFonts w:hint="eastAsia"/>
                <w:color w:val="auto"/>
                <w:sz w:val="18"/>
                <w:szCs w:val="18"/>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color w:val="auto"/>
                <w:sz w:val="18"/>
                <w:szCs w:val="18"/>
                <w:highlight w:val="none"/>
              </w:rPr>
            </w:pPr>
          </w:p>
        </w:tc>
        <w:tc>
          <w:tcPr>
            <w:tcW w:w="1247" w:type="dxa"/>
            <w:vMerge w:val="continue"/>
            <w:shd w:val="clear" w:color="auto" w:fill="auto"/>
            <w:vAlign w:val="center"/>
          </w:tcPr>
          <w:p>
            <w:pPr>
              <w:jc w:val="center"/>
              <w:rPr>
                <w:color w:val="auto"/>
                <w:sz w:val="18"/>
                <w:szCs w:val="18"/>
                <w:highlight w:val="none"/>
              </w:rPr>
            </w:pPr>
          </w:p>
        </w:tc>
        <w:tc>
          <w:tcPr>
            <w:tcW w:w="1247" w:type="dxa"/>
            <w:vMerge w:val="restart"/>
            <w:vAlign w:val="center"/>
          </w:tcPr>
          <w:p>
            <w:pPr>
              <w:jc w:val="center"/>
              <w:rPr>
                <w:color w:val="auto"/>
                <w:sz w:val="18"/>
                <w:szCs w:val="18"/>
                <w:highlight w:val="none"/>
              </w:rPr>
            </w:pPr>
            <w:r>
              <w:rPr>
                <w:rFonts w:hint="eastAsia"/>
                <w:color w:val="auto"/>
                <w:sz w:val="18"/>
                <w:szCs w:val="18"/>
                <w:highlight w:val="none"/>
              </w:rPr>
              <w:t>小计</w:t>
            </w:r>
          </w:p>
        </w:tc>
        <w:tc>
          <w:tcPr>
            <w:tcW w:w="2494" w:type="dxa"/>
            <w:gridSpan w:val="2"/>
            <w:vAlign w:val="center"/>
          </w:tcPr>
          <w:p>
            <w:pPr>
              <w:jc w:val="center"/>
              <w:rPr>
                <w:color w:val="auto"/>
                <w:sz w:val="18"/>
                <w:szCs w:val="18"/>
                <w:highlight w:val="none"/>
              </w:rPr>
            </w:pPr>
            <w:r>
              <w:rPr>
                <w:rFonts w:hint="eastAsia"/>
                <w:color w:val="auto"/>
                <w:sz w:val="18"/>
                <w:szCs w:val="18"/>
                <w:highlight w:val="none"/>
              </w:rPr>
              <w:t>基本支出</w:t>
            </w:r>
          </w:p>
        </w:tc>
        <w:tc>
          <w:tcPr>
            <w:tcW w:w="1247" w:type="dxa"/>
            <w:vMerge w:val="restart"/>
            <w:vAlign w:val="center"/>
          </w:tcPr>
          <w:p>
            <w:pPr>
              <w:jc w:val="center"/>
              <w:rPr>
                <w:color w:val="auto"/>
                <w:sz w:val="18"/>
                <w:szCs w:val="18"/>
                <w:highlight w:val="none"/>
              </w:rPr>
            </w:pPr>
            <w:r>
              <w:rPr>
                <w:rFonts w:hint="eastAsia"/>
                <w:color w:val="auto"/>
                <w:sz w:val="18"/>
                <w:szCs w:val="18"/>
                <w:highlight w:val="none"/>
              </w:rPr>
              <w:t>项目支出</w:t>
            </w:r>
          </w:p>
        </w:tc>
        <w:tc>
          <w:tcPr>
            <w:tcW w:w="1247" w:type="dxa"/>
            <w:gridSpan w:val="2"/>
            <w:vMerge w:val="restart"/>
            <w:vAlign w:val="center"/>
          </w:tcPr>
          <w:p>
            <w:pPr>
              <w:jc w:val="center"/>
              <w:rPr>
                <w:color w:val="auto"/>
                <w:sz w:val="18"/>
                <w:szCs w:val="18"/>
                <w:highlight w:val="none"/>
              </w:rPr>
            </w:pPr>
            <w:r>
              <w:rPr>
                <w:rFonts w:hint="eastAsia"/>
                <w:color w:val="auto"/>
                <w:sz w:val="18"/>
                <w:szCs w:val="18"/>
                <w:highlight w:val="none"/>
              </w:rPr>
              <w:t>小计</w:t>
            </w:r>
          </w:p>
        </w:tc>
        <w:tc>
          <w:tcPr>
            <w:tcW w:w="2494" w:type="dxa"/>
            <w:gridSpan w:val="2"/>
            <w:vAlign w:val="center"/>
          </w:tcPr>
          <w:p>
            <w:pPr>
              <w:jc w:val="center"/>
              <w:rPr>
                <w:color w:val="auto"/>
                <w:sz w:val="18"/>
                <w:szCs w:val="18"/>
                <w:highlight w:val="none"/>
              </w:rPr>
            </w:pPr>
            <w:r>
              <w:rPr>
                <w:rFonts w:hint="eastAsia"/>
                <w:color w:val="auto"/>
                <w:sz w:val="18"/>
                <w:szCs w:val="18"/>
                <w:highlight w:val="none"/>
              </w:rPr>
              <w:t>基本支出</w:t>
            </w:r>
          </w:p>
        </w:tc>
        <w:tc>
          <w:tcPr>
            <w:tcW w:w="1247" w:type="dxa"/>
            <w:vMerge w:val="restart"/>
            <w:vAlign w:val="center"/>
          </w:tcPr>
          <w:p>
            <w:pPr>
              <w:jc w:val="center"/>
              <w:rPr>
                <w:color w:val="auto"/>
                <w:sz w:val="18"/>
                <w:szCs w:val="18"/>
                <w:highlight w:val="none"/>
              </w:rPr>
            </w:pPr>
            <w:r>
              <w:rPr>
                <w:rFonts w:hint="eastAsia"/>
                <w:color w:val="auto"/>
                <w:sz w:val="18"/>
                <w:szCs w:val="18"/>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color w:val="auto"/>
                <w:sz w:val="18"/>
                <w:szCs w:val="18"/>
                <w:highlight w:val="none"/>
              </w:rPr>
            </w:pPr>
          </w:p>
        </w:tc>
        <w:tc>
          <w:tcPr>
            <w:tcW w:w="1247" w:type="dxa"/>
            <w:vMerge w:val="continue"/>
            <w:shd w:val="clear" w:color="auto" w:fill="auto"/>
            <w:vAlign w:val="center"/>
          </w:tcPr>
          <w:p>
            <w:pPr>
              <w:jc w:val="center"/>
              <w:rPr>
                <w:color w:val="auto"/>
                <w:sz w:val="18"/>
                <w:szCs w:val="18"/>
                <w:highlight w:val="none"/>
              </w:rPr>
            </w:pPr>
          </w:p>
        </w:tc>
        <w:tc>
          <w:tcPr>
            <w:tcW w:w="1247" w:type="dxa"/>
            <w:vMerge w:val="continue"/>
            <w:vAlign w:val="center"/>
          </w:tcPr>
          <w:p>
            <w:pPr>
              <w:jc w:val="center"/>
              <w:rPr>
                <w:color w:val="auto"/>
                <w:sz w:val="18"/>
                <w:szCs w:val="18"/>
                <w:highlight w:val="none"/>
              </w:rPr>
            </w:pPr>
          </w:p>
        </w:tc>
        <w:tc>
          <w:tcPr>
            <w:tcW w:w="1247" w:type="dxa"/>
            <w:vAlign w:val="center"/>
          </w:tcPr>
          <w:p>
            <w:pPr>
              <w:jc w:val="center"/>
              <w:rPr>
                <w:color w:val="auto"/>
                <w:sz w:val="18"/>
                <w:szCs w:val="18"/>
                <w:highlight w:val="none"/>
              </w:rPr>
            </w:pPr>
            <w:r>
              <w:rPr>
                <w:rFonts w:hint="eastAsia"/>
                <w:color w:val="auto"/>
                <w:sz w:val="18"/>
                <w:szCs w:val="18"/>
                <w:highlight w:val="none"/>
              </w:rPr>
              <w:t>人员经费</w:t>
            </w:r>
          </w:p>
        </w:tc>
        <w:tc>
          <w:tcPr>
            <w:tcW w:w="1247" w:type="dxa"/>
            <w:vAlign w:val="center"/>
          </w:tcPr>
          <w:p>
            <w:pPr>
              <w:jc w:val="center"/>
              <w:rPr>
                <w:color w:val="auto"/>
                <w:sz w:val="18"/>
                <w:szCs w:val="18"/>
                <w:highlight w:val="none"/>
              </w:rPr>
            </w:pPr>
            <w:r>
              <w:rPr>
                <w:rFonts w:hint="eastAsia"/>
                <w:color w:val="auto"/>
                <w:sz w:val="18"/>
                <w:szCs w:val="18"/>
                <w:highlight w:val="none"/>
              </w:rPr>
              <w:t>公用经费</w:t>
            </w:r>
          </w:p>
        </w:tc>
        <w:tc>
          <w:tcPr>
            <w:tcW w:w="1247" w:type="dxa"/>
            <w:vMerge w:val="continue"/>
            <w:vAlign w:val="center"/>
          </w:tcPr>
          <w:p>
            <w:pPr>
              <w:jc w:val="center"/>
              <w:rPr>
                <w:color w:val="auto"/>
                <w:sz w:val="18"/>
                <w:szCs w:val="18"/>
                <w:highlight w:val="none"/>
              </w:rPr>
            </w:pPr>
          </w:p>
        </w:tc>
        <w:tc>
          <w:tcPr>
            <w:tcW w:w="1247" w:type="dxa"/>
            <w:gridSpan w:val="2"/>
            <w:vMerge w:val="continue"/>
            <w:vAlign w:val="center"/>
          </w:tcPr>
          <w:p>
            <w:pPr>
              <w:jc w:val="center"/>
              <w:rPr>
                <w:color w:val="auto"/>
                <w:sz w:val="18"/>
                <w:szCs w:val="18"/>
                <w:highlight w:val="none"/>
              </w:rPr>
            </w:pPr>
          </w:p>
        </w:tc>
        <w:tc>
          <w:tcPr>
            <w:tcW w:w="1247" w:type="dxa"/>
            <w:vAlign w:val="center"/>
          </w:tcPr>
          <w:p>
            <w:pPr>
              <w:jc w:val="center"/>
              <w:rPr>
                <w:color w:val="auto"/>
                <w:sz w:val="18"/>
                <w:szCs w:val="18"/>
                <w:highlight w:val="none"/>
              </w:rPr>
            </w:pPr>
            <w:r>
              <w:rPr>
                <w:rFonts w:hint="eastAsia"/>
                <w:color w:val="auto"/>
                <w:sz w:val="18"/>
                <w:szCs w:val="18"/>
                <w:highlight w:val="none"/>
              </w:rPr>
              <w:t>人员经费</w:t>
            </w:r>
          </w:p>
        </w:tc>
        <w:tc>
          <w:tcPr>
            <w:tcW w:w="1247" w:type="dxa"/>
            <w:vAlign w:val="center"/>
          </w:tcPr>
          <w:p>
            <w:pPr>
              <w:jc w:val="center"/>
              <w:rPr>
                <w:color w:val="auto"/>
                <w:sz w:val="18"/>
                <w:szCs w:val="18"/>
                <w:highlight w:val="none"/>
              </w:rPr>
            </w:pPr>
            <w:r>
              <w:rPr>
                <w:rFonts w:hint="eastAsia"/>
                <w:color w:val="auto"/>
                <w:sz w:val="18"/>
                <w:szCs w:val="18"/>
                <w:highlight w:val="none"/>
              </w:rPr>
              <w:t>公用经费</w:t>
            </w:r>
          </w:p>
        </w:tc>
        <w:tc>
          <w:tcPr>
            <w:tcW w:w="1247" w:type="dxa"/>
            <w:vMerge w:val="continue"/>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color w:val="auto"/>
                <w:sz w:val="18"/>
                <w:szCs w:val="18"/>
                <w:highlight w:val="none"/>
              </w:rPr>
            </w:pPr>
            <w:r>
              <w:rPr>
                <w:rFonts w:hint="eastAsia"/>
                <w:color w:val="auto"/>
                <w:sz w:val="18"/>
                <w:szCs w:val="18"/>
                <w:highlight w:val="none"/>
              </w:rPr>
              <w:t>※</w:t>
            </w:r>
          </w:p>
        </w:tc>
        <w:tc>
          <w:tcPr>
            <w:tcW w:w="1247" w:type="dxa"/>
            <w:shd w:val="clear" w:color="auto" w:fill="auto"/>
            <w:vAlign w:val="center"/>
          </w:tcPr>
          <w:p>
            <w:pPr>
              <w:jc w:val="center"/>
              <w:rPr>
                <w:color w:val="auto"/>
                <w:sz w:val="18"/>
                <w:szCs w:val="18"/>
                <w:highlight w:val="none"/>
              </w:rPr>
            </w:pPr>
            <w:r>
              <w:rPr>
                <w:rFonts w:hint="eastAsia"/>
                <w:color w:val="auto"/>
                <w:sz w:val="18"/>
                <w:szCs w:val="18"/>
                <w:highlight w:val="none"/>
              </w:rPr>
              <w:t>1</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2</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3</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4</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5</w:t>
            </w:r>
          </w:p>
        </w:tc>
        <w:tc>
          <w:tcPr>
            <w:tcW w:w="1247" w:type="dxa"/>
            <w:gridSpan w:val="2"/>
            <w:vAlign w:val="center"/>
          </w:tcPr>
          <w:p>
            <w:pPr>
              <w:jc w:val="center"/>
              <w:rPr>
                <w:rFonts w:hint="eastAsia"/>
                <w:color w:val="auto"/>
                <w:sz w:val="18"/>
                <w:szCs w:val="18"/>
                <w:highlight w:val="none"/>
              </w:rPr>
            </w:pPr>
            <w:r>
              <w:rPr>
                <w:rFonts w:hint="eastAsia"/>
                <w:color w:val="auto"/>
                <w:sz w:val="18"/>
                <w:szCs w:val="18"/>
                <w:highlight w:val="none"/>
              </w:rPr>
              <w:t>6</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7</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8</w:t>
            </w:r>
          </w:p>
        </w:tc>
        <w:tc>
          <w:tcPr>
            <w:tcW w:w="1247" w:type="dxa"/>
            <w:vAlign w:val="center"/>
          </w:tcPr>
          <w:p>
            <w:pPr>
              <w:jc w:val="center"/>
              <w:rPr>
                <w:rFonts w:hint="eastAsia"/>
                <w:color w:val="auto"/>
                <w:sz w:val="18"/>
                <w:szCs w:val="18"/>
                <w:highlight w:val="none"/>
              </w:rPr>
            </w:pPr>
            <w:r>
              <w:rPr>
                <w:rFonts w:hint="eastAsia"/>
                <w:color w:val="auto"/>
                <w:sz w:val="18"/>
                <w:szCs w:val="18"/>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color w:val="auto"/>
                <w:sz w:val="18"/>
                <w:szCs w:val="18"/>
                <w:highlight w:val="none"/>
              </w:rPr>
            </w:pPr>
          </w:p>
        </w:tc>
        <w:tc>
          <w:tcPr>
            <w:tcW w:w="1247" w:type="dxa"/>
            <w:shd w:val="clear" w:color="auto" w:fill="auto"/>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gridSpan w:val="2"/>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color w:val="auto"/>
                <w:sz w:val="18"/>
                <w:szCs w:val="18"/>
                <w:highlight w:val="none"/>
              </w:rPr>
            </w:pPr>
          </w:p>
        </w:tc>
        <w:tc>
          <w:tcPr>
            <w:tcW w:w="1247" w:type="dxa"/>
            <w:shd w:val="clear" w:color="auto" w:fill="auto"/>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gridSpan w:val="2"/>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color w:val="auto"/>
                <w:sz w:val="18"/>
                <w:szCs w:val="18"/>
                <w:highlight w:val="none"/>
              </w:rPr>
            </w:pPr>
          </w:p>
        </w:tc>
        <w:tc>
          <w:tcPr>
            <w:tcW w:w="1247" w:type="dxa"/>
            <w:shd w:val="clear" w:color="auto" w:fill="auto"/>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gridSpan w:val="2"/>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color w:val="auto"/>
                <w:sz w:val="18"/>
                <w:szCs w:val="18"/>
                <w:highlight w:val="none"/>
              </w:rPr>
            </w:pPr>
          </w:p>
        </w:tc>
        <w:tc>
          <w:tcPr>
            <w:tcW w:w="1247" w:type="dxa"/>
            <w:shd w:val="clear" w:color="auto" w:fill="auto"/>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gridSpan w:val="2"/>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color w:val="auto"/>
                <w:sz w:val="18"/>
                <w:szCs w:val="18"/>
                <w:highlight w:val="none"/>
              </w:rPr>
            </w:pPr>
          </w:p>
        </w:tc>
        <w:tc>
          <w:tcPr>
            <w:tcW w:w="1247" w:type="dxa"/>
            <w:shd w:val="clear" w:color="auto" w:fill="auto"/>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gridSpan w:val="2"/>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c>
          <w:tcPr>
            <w:tcW w:w="1247" w:type="dxa"/>
            <w:vAlign w:val="center"/>
          </w:tcPr>
          <w:p>
            <w:pPr>
              <w:ind w:right="-29" w:rightChars="-14"/>
              <w:jc w:val="right"/>
              <w:rPr>
                <w:color w:val="auto"/>
                <w:sz w:val="18"/>
                <w:szCs w:val="18"/>
                <w:highlight w:val="none"/>
              </w:rPr>
            </w:pPr>
          </w:p>
        </w:tc>
      </w:tr>
    </w:tbl>
    <w:p>
      <w:pPr>
        <w:widowControl/>
        <w:jc w:val="left"/>
        <w:rPr>
          <w:rFonts w:ascii="仿宋" w:eastAsia="仿宋"/>
          <w:b/>
          <w:color w:val="auto"/>
          <w:szCs w:val="21"/>
          <w:highlight w:val="none"/>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auto"/>
          <w:szCs w:val="21"/>
          <w:highlight w:val="none"/>
        </w:rPr>
        <w:t>额敏县医疗保障局</w:t>
      </w:r>
      <w:r>
        <w:rPr>
          <w:rFonts w:hint="eastAsia" w:ascii="仿宋" w:eastAsia="仿宋"/>
          <w:b/>
          <w:color w:val="auto"/>
          <w:szCs w:val="21"/>
          <w:highlight w:val="none"/>
          <w:lang w:eastAsia="zh-CN"/>
        </w:rPr>
        <w:t>2026</w:t>
      </w:r>
      <w:r>
        <w:rPr>
          <w:rFonts w:hint="eastAsia" w:ascii="仿宋" w:eastAsia="仿宋"/>
          <w:b/>
          <w:color w:val="auto"/>
          <w:szCs w:val="21"/>
          <w:highlight w:val="none"/>
        </w:rPr>
        <w:t>年没有上年结转结余预算安排的支出，上年结转结余情况明细表为空表。</w:t>
      </w:r>
    </w:p>
    <w:p>
      <w:pPr>
        <w:pStyle w:val="2"/>
        <w:spacing w:before="156" w:beforeLines="50" w:after="156" w:afterLines="50" w:line="240" w:lineRule="atLeast"/>
        <w:jc w:val="center"/>
        <w:rPr>
          <w:rFonts w:ascii="黑体" w:eastAsia="黑体"/>
          <w:color w:val="auto"/>
          <w:sz w:val="30"/>
          <w:szCs w:val="30"/>
          <w:highlight w:val="none"/>
        </w:rPr>
      </w:pPr>
      <w:r>
        <w:rPr>
          <w:rFonts w:hint="eastAsia" w:ascii="黑体" w:eastAsia="黑体"/>
          <w:color w:val="auto"/>
          <w:sz w:val="30"/>
          <w:szCs w:val="30"/>
          <w:highlight w:val="none"/>
        </w:rPr>
        <w:t xml:space="preserve">第三部分 </w:t>
      </w:r>
      <w:r>
        <w:rPr>
          <w:rFonts w:hint="eastAsia" w:ascii="黑体" w:eastAsia="黑体"/>
          <w:color w:val="auto"/>
          <w:sz w:val="30"/>
          <w:szCs w:val="30"/>
          <w:highlight w:val="none"/>
          <w:lang w:eastAsia="zh-CN"/>
        </w:rPr>
        <w:t>2026</w:t>
      </w:r>
      <w:r>
        <w:rPr>
          <w:rFonts w:hint="eastAsia" w:ascii="黑体" w:eastAsia="黑体"/>
          <w:color w:val="auto"/>
          <w:sz w:val="30"/>
          <w:szCs w:val="30"/>
          <w:highlight w:val="none"/>
        </w:rPr>
        <w:t>年部门预算情况说明</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年收支预算情况</w:t>
      </w:r>
      <w:r>
        <w:rPr>
          <w:rFonts w:hint="eastAsia" w:ascii="仿宋" w:hAnsi="华文楷体" w:eastAsia="仿宋"/>
          <w:color w:val="auto"/>
          <w:sz w:val="28"/>
          <w:szCs w:val="28"/>
          <w:highlight w:val="none"/>
          <w:lang w:val="en-US" w:eastAsia="zh-CN"/>
        </w:rPr>
        <w:t>的</w:t>
      </w:r>
      <w:r>
        <w:rPr>
          <w:rFonts w:hint="eastAsia" w:ascii="仿宋" w:hAnsi="华文楷体" w:eastAsia="仿宋"/>
          <w:color w:val="auto"/>
          <w:sz w:val="28"/>
          <w:szCs w:val="28"/>
          <w:highlight w:val="none"/>
        </w:rPr>
        <w:t>总体说明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按照全口径预算的原则，额敏县医疗保障局</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年所有收入和支出均纳入部门预算管理。收支总预算570.40万元。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收入预算包括：一般公共预算、单位资金。</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支出预算包括：社会保障和就业支出、卫生健康支出、住房保障支出。</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年收入预算情况说明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额敏县医疗保障局部门收入预算570.40万元，其中：</w:t>
      </w:r>
    </w:p>
    <w:p>
      <w:pPr>
        <w:widowControl/>
        <w:spacing w:line="560" w:lineRule="exact"/>
        <w:ind w:firstLine="560" w:firstLineChars="200"/>
        <w:rPr>
          <w:rFonts w:hint="eastAsia" w:ascii="仿宋" w:hAnsi="微软雅黑" w:eastAsia="仿宋"/>
          <w:color w:val="auto"/>
          <w:sz w:val="28"/>
          <w:szCs w:val="28"/>
          <w:highlight w:val="none"/>
          <w:lang w:val="en-US" w:eastAsia="zh-CN"/>
        </w:rPr>
      </w:pPr>
      <w:r>
        <w:rPr>
          <w:rFonts w:hint="eastAsia" w:ascii="仿宋" w:hAnsi="微软雅黑" w:eastAsia="仿宋"/>
          <w:color w:val="auto"/>
          <w:sz w:val="28"/>
          <w:szCs w:val="28"/>
          <w:highlight w:val="none"/>
        </w:rPr>
        <w:t>一般公共预算551.40万元，占96.67%，比上年预算增加1.05万元，增长0.19%，主要原因是</w:t>
      </w:r>
      <w:r>
        <w:rPr>
          <w:rFonts w:hint="eastAsia" w:ascii="仿宋" w:hAnsi="微软雅黑" w:eastAsia="仿宋"/>
          <w:color w:val="auto"/>
          <w:sz w:val="28"/>
          <w:szCs w:val="28"/>
          <w:highlight w:val="none"/>
          <w:lang w:val="en-US" w:eastAsia="zh-CN"/>
        </w:rPr>
        <w:t>在职</w:t>
      </w:r>
      <w:r>
        <w:rPr>
          <w:rFonts w:hint="eastAsia" w:ascii="仿宋" w:hAnsi="微软雅黑" w:eastAsia="仿宋"/>
          <w:color w:val="auto"/>
          <w:sz w:val="28"/>
          <w:szCs w:val="28"/>
          <w:highlight w:val="none"/>
        </w:rPr>
        <w:t>人员工资</w:t>
      </w:r>
      <w:r>
        <w:rPr>
          <w:rFonts w:hint="eastAsia" w:ascii="仿宋" w:hAnsi="微软雅黑" w:eastAsia="仿宋"/>
          <w:color w:val="auto"/>
          <w:sz w:val="28"/>
          <w:szCs w:val="28"/>
          <w:highlight w:val="none"/>
          <w:lang w:val="en-US" w:eastAsia="zh-CN"/>
        </w:rPr>
        <w:t>调增</w:t>
      </w:r>
      <w:r>
        <w:rPr>
          <w:rFonts w:hint="eastAsia" w:ascii="仿宋" w:hAnsi="微软雅黑" w:eastAsia="仿宋"/>
          <w:color w:val="auto"/>
          <w:sz w:val="28"/>
          <w:szCs w:val="28"/>
          <w:highlight w:val="none"/>
          <w:lang w:eastAsia="zh-CN"/>
        </w:rPr>
        <w:t>，</w:t>
      </w:r>
      <w:r>
        <w:rPr>
          <w:rFonts w:hint="eastAsia" w:ascii="仿宋" w:hAnsi="微软雅黑" w:eastAsia="仿宋"/>
          <w:color w:val="auto"/>
          <w:sz w:val="28"/>
          <w:szCs w:val="28"/>
          <w:highlight w:val="none"/>
        </w:rPr>
        <w:t>社保、医保、住房公积金缴费基数增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lang w:eastAsia="zh-CN"/>
        </w:rPr>
        <w:t>。</w:t>
      </w:r>
    </w:p>
    <w:p>
      <w:pPr>
        <w:widowControl/>
        <w:spacing w:line="560" w:lineRule="exact"/>
        <w:ind w:firstLine="560" w:firstLineChars="200"/>
        <w:rPr>
          <w:rFonts w:hint="eastAsia" w:ascii="仿宋" w:hAnsi="微软雅黑" w:eastAsia="仿宋"/>
          <w:color w:val="auto"/>
          <w:sz w:val="28"/>
          <w:szCs w:val="28"/>
          <w:highlight w:val="none"/>
          <w:lang w:eastAsia="zh-CN"/>
        </w:rPr>
      </w:pPr>
      <w:r>
        <w:rPr>
          <w:rFonts w:hint="eastAsia" w:ascii="仿宋" w:hAnsi="微软雅黑" w:eastAsia="仿宋"/>
          <w:color w:val="auto"/>
          <w:sz w:val="28"/>
          <w:szCs w:val="28"/>
          <w:highlight w:val="none"/>
        </w:rPr>
        <w:t>上级一般公共预算安排的转移支付资金5.00万元，占0.88%，比上年预算增加0.00万元，增长0.00%，主要原因是</w:t>
      </w:r>
      <w:r>
        <w:rPr>
          <w:rFonts w:hint="eastAsia" w:ascii="仿宋" w:hAnsi="微软雅黑" w:eastAsia="仿宋"/>
          <w:color w:val="auto"/>
          <w:sz w:val="28"/>
          <w:szCs w:val="28"/>
          <w:highlight w:val="none"/>
          <w:lang w:val="en-US" w:eastAsia="zh-CN"/>
        </w:rPr>
        <w:t>2025年</w:t>
      </w:r>
      <w:r>
        <w:rPr>
          <w:rFonts w:hint="eastAsia" w:ascii="仿宋" w:hAnsi="微软雅黑" w:eastAsia="仿宋"/>
          <w:color w:val="auto"/>
          <w:sz w:val="28"/>
          <w:szCs w:val="28"/>
          <w:highlight w:val="none"/>
          <w:lang w:eastAsia="zh-CN"/>
        </w:rPr>
        <w:t>与</w:t>
      </w:r>
      <w:r>
        <w:rPr>
          <w:rFonts w:hint="eastAsia" w:ascii="仿宋" w:hAnsi="微软雅黑" w:eastAsia="仿宋"/>
          <w:color w:val="auto"/>
          <w:sz w:val="28"/>
          <w:szCs w:val="28"/>
          <w:highlight w:val="none"/>
          <w:lang w:val="en-US" w:eastAsia="zh-CN"/>
        </w:rPr>
        <w:t>2026年</w:t>
      </w:r>
      <w:r>
        <w:rPr>
          <w:rFonts w:hint="eastAsia" w:ascii="仿宋" w:hAnsi="微软雅黑" w:eastAsia="仿宋"/>
          <w:color w:val="auto"/>
          <w:sz w:val="28"/>
          <w:szCs w:val="28"/>
          <w:highlight w:val="none"/>
          <w:lang w:eastAsia="zh-CN"/>
        </w:rPr>
        <w:t>预算安排资金一致</w:t>
      </w:r>
      <w:r>
        <w:rPr>
          <w:rFonts w:hint="eastAsia" w:ascii="仿宋" w:hAnsi="微软雅黑" w:eastAsia="仿宋"/>
          <w:color w:val="auto"/>
          <w:sz w:val="28"/>
          <w:szCs w:val="28"/>
          <w:highlight w:val="none"/>
        </w:rPr>
        <w:t>，</w:t>
      </w:r>
      <w:r>
        <w:rPr>
          <w:rFonts w:hint="eastAsia" w:ascii="仿宋" w:hAnsi="微软雅黑" w:eastAsia="仿宋"/>
          <w:color w:val="auto"/>
          <w:sz w:val="28"/>
          <w:szCs w:val="28"/>
          <w:highlight w:val="none"/>
          <w:lang w:eastAsia="zh-CN"/>
        </w:rPr>
        <w:t>无变化。</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政府性基金预算未安排。</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上级政府性基金安排的转移支付资金未安排。</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国有资本经营预算未安排。</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上级国有资本经营预算安排的转移支付资金未安排。</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单位资金14.00万元，占2.45%，比上年预算增加10.85万元，增长344.44%，主要原因是</w:t>
      </w:r>
      <w:r>
        <w:rPr>
          <w:rFonts w:hint="eastAsia" w:ascii="仿宋" w:hAnsi="微软雅黑" w:eastAsia="仿宋"/>
          <w:color w:val="auto"/>
          <w:sz w:val="28"/>
          <w:szCs w:val="28"/>
          <w:highlight w:val="none"/>
          <w:lang w:val="en-US" w:eastAsia="zh-CN"/>
        </w:rPr>
        <w:t>本年单位资金</w:t>
      </w:r>
      <w:r>
        <w:rPr>
          <w:rFonts w:hint="eastAsia" w:ascii="仿宋" w:hAnsi="微软雅黑" w:eastAsia="仿宋"/>
          <w:color w:val="auto"/>
          <w:sz w:val="28"/>
          <w:szCs w:val="28"/>
          <w:highlight w:val="none"/>
        </w:rPr>
        <w:t>新增2人的生育津贴</w:t>
      </w:r>
      <w:r>
        <w:rPr>
          <w:rFonts w:hint="eastAsia" w:ascii="仿宋" w:hAnsi="微软雅黑" w:eastAsia="仿宋"/>
          <w:color w:val="auto"/>
          <w:sz w:val="28"/>
          <w:szCs w:val="28"/>
          <w:highlight w:val="none"/>
          <w:lang w:val="en-US" w:eastAsia="zh-CN"/>
        </w:rPr>
        <w:t>和</w:t>
      </w:r>
      <w:r>
        <w:rPr>
          <w:rFonts w:hint="eastAsia" w:ascii="仿宋" w:hAnsi="微软雅黑" w:eastAsia="仿宋"/>
          <w:color w:val="auto"/>
          <w:sz w:val="28"/>
          <w:szCs w:val="28"/>
          <w:highlight w:val="none"/>
        </w:rPr>
        <w:t>违约金收入</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rPr>
        <w:t>。</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年支出预算情况说明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额敏县医疗保障局</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年支出预算570.40万元，其中：</w:t>
      </w:r>
    </w:p>
    <w:p>
      <w:pPr>
        <w:widowControl/>
        <w:spacing w:line="560" w:lineRule="exact"/>
        <w:ind w:firstLine="560" w:firstLineChars="200"/>
        <w:rPr>
          <w:rFonts w:hint="eastAsia" w:ascii="仿宋" w:hAnsi="微软雅黑" w:eastAsia="仿宋"/>
          <w:color w:val="auto"/>
          <w:sz w:val="28"/>
          <w:szCs w:val="28"/>
          <w:highlight w:val="none"/>
          <w:lang w:eastAsia="zh-CN"/>
        </w:rPr>
      </w:pPr>
      <w:r>
        <w:rPr>
          <w:rFonts w:hint="eastAsia" w:ascii="仿宋" w:hAnsi="微软雅黑" w:eastAsia="仿宋"/>
          <w:color w:val="auto"/>
          <w:sz w:val="28"/>
          <w:szCs w:val="28"/>
          <w:highlight w:val="none"/>
        </w:rPr>
        <w:t>基本支出511.40万元，占89.66%，比上年预算增加11.05万元，增长2.21%，主要原因是</w:t>
      </w:r>
      <w:r>
        <w:rPr>
          <w:rFonts w:hint="eastAsia" w:ascii="仿宋" w:hAnsi="微软雅黑" w:eastAsia="仿宋"/>
          <w:color w:val="auto"/>
          <w:sz w:val="28"/>
          <w:szCs w:val="28"/>
          <w:highlight w:val="none"/>
          <w:lang w:val="en-US" w:eastAsia="zh-CN"/>
        </w:rPr>
        <w:t>在职</w:t>
      </w:r>
      <w:r>
        <w:rPr>
          <w:rFonts w:hint="eastAsia" w:ascii="仿宋" w:hAnsi="微软雅黑" w:eastAsia="仿宋"/>
          <w:color w:val="auto"/>
          <w:sz w:val="28"/>
          <w:szCs w:val="28"/>
          <w:highlight w:val="none"/>
        </w:rPr>
        <w:t>人员工资</w:t>
      </w:r>
      <w:r>
        <w:rPr>
          <w:rFonts w:hint="eastAsia" w:ascii="仿宋" w:hAnsi="微软雅黑" w:eastAsia="仿宋"/>
          <w:color w:val="auto"/>
          <w:sz w:val="28"/>
          <w:szCs w:val="28"/>
          <w:highlight w:val="none"/>
          <w:lang w:val="en-US" w:eastAsia="zh-CN"/>
        </w:rPr>
        <w:t>调增</w:t>
      </w:r>
      <w:r>
        <w:rPr>
          <w:rFonts w:hint="eastAsia" w:ascii="仿宋" w:hAnsi="微软雅黑" w:eastAsia="仿宋"/>
          <w:color w:val="auto"/>
          <w:sz w:val="28"/>
          <w:szCs w:val="28"/>
          <w:highlight w:val="none"/>
          <w:lang w:eastAsia="zh-CN"/>
        </w:rPr>
        <w:t>，</w:t>
      </w:r>
      <w:r>
        <w:rPr>
          <w:rFonts w:hint="eastAsia" w:ascii="仿宋" w:hAnsi="微软雅黑" w:eastAsia="仿宋"/>
          <w:color w:val="auto"/>
          <w:sz w:val="28"/>
          <w:szCs w:val="28"/>
          <w:highlight w:val="none"/>
        </w:rPr>
        <w:t>社保、医保、住房公积金缴费基数增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lang w:eastAsia="zh-CN"/>
        </w:rPr>
        <w:t>。</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项目支出59.00万元，占10.34%，比上年预算增加0.85万元，增长1.46%，主要原因是</w:t>
      </w:r>
      <w:r>
        <w:rPr>
          <w:rFonts w:hint="eastAsia" w:ascii="仿宋" w:hAnsi="微软雅黑" w:eastAsia="仿宋"/>
          <w:color w:val="auto"/>
          <w:sz w:val="28"/>
          <w:szCs w:val="28"/>
          <w:highlight w:val="none"/>
          <w:lang w:val="en-US" w:eastAsia="zh-CN"/>
        </w:rPr>
        <w:t>本年单位资金</w:t>
      </w:r>
      <w:r>
        <w:rPr>
          <w:rFonts w:hint="eastAsia" w:ascii="仿宋" w:hAnsi="微软雅黑" w:eastAsia="仿宋"/>
          <w:color w:val="auto"/>
          <w:sz w:val="28"/>
          <w:szCs w:val="28"/>
          <w:highlight w:val="none"/>
        </w:rPr>
        <w:t>新增2人的生育津贴</w:t>
      </w:r>
      <w:r>
        <w:rPr>
          <w:rFonts w:hint="eastAsia" w:ascii="仿宋" w:hAnsi="微软雅黑" w:eastAsia="仿宋"/>
          <w:color w:val="auto"/>
          <w:sz w:val="28"/>
          <w:szCs w:val="28"/>
          <w:highlight w:val="none"/>
          <w:lang w:val="en-US" w:eastAsia="zh-CN"/>
        </w:rPr>
        <w:t>和</w:t>
      </w:r>
      <w:r>
        <w:rPr>
          <w:rFonts w:hint="eastAsia" w:ascii="仿宋" w:hAnsi="微软雅黑" w:eastAsia="仿宋"/>
          <w:color w:val="auto"/>
          <w:sz w:val="28"/>
          <w:szCs w:val="28"/>
          <w:highlight w:val="none"/>
        </w:rPr>
        <w:t>违约金</w:t>
      </w:r>
      <w:r>
        <w:rPr>
          <w:rFonts w:hint="eastAsia" w:ascii="仿宋" w:hAnsi="微软雅黑" w:eastAsia="仿宋"/>
          <w:color w:val="auto"/>
          <w:sz w:val="28"/>
          <w:szCs w:val="28"/>
          <w:highlight w:val="none"/>
          <w:lang w:val="en-US" w:eastAsia="zh-CN"/>
        </w:rPr>
        <w:t>，</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rPr>
        <w:t>。</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年财政拨款收支预算情况的总体说明</w:t>
      </w:r>
    </w:p>
    <w:p>
      <w:pPr>
        <w:widowControl/>
        <w:spacing w:line="560" w:lineRule="exact"/>
        <w:ind w:firstLine="560" w:firstLineChars="200"/>
        <w:rPr>
          <w:rFonts w:hint="eastAsia"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年财政拨款收支总预算556.40万元。</w:t>
      </w:r>
    </w:p>
    <w:p>
      <w:pPr>
        <w:widowControl/>
        <w:spacing w:line="560" w:lineRule="exact"/>
        <w:ind w:firstLine="560" w:firstLineChars="200"/>
        <w:rPr>
          <w:rFonts w:hint="eastAsia" w:ascii="仿宋" w:hAnsi="微软雅黑" w:eastAsia="仿宋"/>
          <w:color w:val="auto"/>
          <w:sz w:val="28"/>
          <w:szCs w:val="28"/>
          <w:highlight w:val="none"/>
        </w:rPr>
      </w:pPr>
      <w:r>
        <w:rPr>
          <w:rFonts w:hint="eastAsia" w:ascii="仿宋" w:hAnsi="微软雅黑" w:eastAsia="仿宋"/>
          <w:color w:val="auto"/>
          <w:sz w:val="28"/>
          <w:szCs w:val="28"/>
          <w:highlight w:val="none"/>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olor w:val="auto"/>
          <w:sz w:val="28"/>
          <w:szCs w:val="28"/>
          <w:highlight w:val="none"/>
        </w:rPr>
      </w:pPr>
      <w:r>
        <w:rPr>
          <w:rFonts w:hint="eastAsia" w:ascii="仿宋" w:hAnsi="微软雅黑" w:eastAsia="仿宋"/>
          <w:color w:val="auto"/>
          <w:sz w:val="28"/>
          <w:szCs w:val="28"/>
          <w:highlight w:val="none"/>
        </w:rPr>
        <w:t>收入预算包括：一般公共预算拨款556.40万元。</w:t>
      </w:r>
    </w:p>
    <w:p>
      <w:pPr>
        <w:widowControl/>
        <w:spacing w:line="560" w:lineRule="exact"/>
        <w:ind w:firstLine="560" w:firstLineChars="200"/>
        <w:rPr>
          <w:rFonts w:hint="eastAsia" w:ascii="仿宋" w:hAnsi="微软雅黑" w:eastAsia="仿宋"/>
          <w:color w:val="auto"/>
          <w:sz w:val="28"/>
          <w:szCs w:val="28"/>
          <w:highlight w:val="none"/>
        </w:rPr>
      </w:pPr>
      <w:r>
        <w:rPr>
          <w:rFonts w:hint="eastAsia" w:ascii="仿宋" w:hAnsi="微软雅黑" w:eastAsia="仿宋"/>
          <w:color w:val="auto"/>
          <w:sz w:val="28"/>
          <w:szCs w:val="28"/>
          <w:highlight w:val="none"/>
        </w:rPr>
        <w:t>一般公共预算支出包括：社会保障和就业支出50.95万元，主要用于行政单位离退休费、机关事业单位基本养老保险缴费；卫生健康支出463.74万元，主要用于基本工资、津贴补贴、奖金、绩效工资、其他社会保障缴费、办公费、印刷费、手续费、水费、电费、邮电费、取暖费、差旅费、维修（护）费、其他交通费用、培训费、公务接待费、工会经费、福利费、公务用车运行维护费、奖励金、办公设备购置、职工基本医疗保险缴费、公务员医疗补助缴费等；住房保障支出41.71万元，主要用于住房公积金支出。</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年一般公共预算当年拨款情况说明</w:t>
      </w:r>
    </w:p>
    <w:p>
      <w:pPr>
        <w:widowControl/>
        <w:spacing w:line="560" w:lineRule="exact"/>
        <w:ind w:firstLine="560" w:firstLineChars="200"/>
        <w:rPr>
          <w:rFonts w:ascii="仿宋" w:hAnsi="微软雅黑" w:eastAsia="仿宋"/>
          <w:b/>
          <w:color w:val="auto"/>
          <w:sz w:val="28"/>
          <w:szCs w:val="28"/>
          <w:highlight w:val="none"/>
        </w:rPr>
      </w:pPr>
      <w:r>
        <w:rPr>
          <w:rFonts w:hint="eastAsia" w:ascii="仿宋" w:hAnsi="微软雅黑" w:eastAsia="仿宋"/>
          <w:b/>
          <w:color w:val="auto"/>
          <w:sz w:val="28"/>
          <w:szCs w:val="28"/>
          <w:highlight w:val="none"/>
        </w:rPr>
        <w:t>（一）一般公共预算当年拨款规模变化情况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额敏县医疗保障局</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年一般公共预算拨款合计556.40万元，其中：</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基本支出511.40万元，比上年预算增加11.05万元，增长2.21%，主要原因是</w:t>
      </w:r>
      <w:r>
        <w:rPr>
          <w:rFonts w:hint="eastAsia" w:ascii="仿宋" w:hAnsi="微软雅黑" w:eastAsia="仿宋"/>
          <w:color w:val="auto"/>
          <w:sz w:val="28"/>
          <w:szCs w:val="28"/>
          <w:highlight w:val="none"/>
          <w:lang w:val="en-US" w:eastAsia="zh-CN"/>
        </w:rPr>
        <w:t>在职</w:t>
      </w:r>
      <w:r>
        <w:rPr>
          <w:rFonts w:hint="eastAsia" w:ascii="仿宋" w:hAnsi="微软雅黑" w:eastAsia="仿宋"/>
          <w:color w:val="auto"/>
          <w:sz w:val="28"/>
          <w:szCs w:val="28"/>
          <w:highlight w:val="none"/>
        </w:rPr>
        <w:t>人员工资</w:t>
      </w:r>
      <w:r>
        <w:rPr>
          <w:rFonts w:hint="eastAsia" w:ascii="仿宋" w:hAnsi="微软雅黑" w:eastAsia="仿宋"/>
          <w:color w:val="auto"/>
          <w:sz w:val="28"/>
          <w:szCs w:val="28"/>
          <w:highlight w:val="none"/>
          <w:lang w:val="en-US" w:eastAsia="zh-CN"/>
        </w:rPr>
        <w:t>调增</w:t>
      </w:r>
      <w:r>
        <w:rPr>
          <w:rFonts w:hint="eastAsia" w:ascii="仿宋" w:hAnsi="微软雅黑" w:eastAsia="仿宋"/>
          <w:color w:val="auto"/>
          <w:sz w:val="28"/>
          <w:szCs w:val="28"/>
          <w:highlight w:val="none"/>
          <w:lang w:eastAsia="zh-CN"/>
        </w:rPr>
        <w:t>，</w:t>
      </w:r>
      <w:r>
        <w:rPr>
          <w:rFonts w:hint="eastAsia" w:ascii="仿宋" w:hAnsi="微软雅黑" w:eastAsia="仿宋"/>
          <w:color w:val="auto"/>
          <w:sz w:val="28"/>
          <w:szCs w:val="28"/>
          <w:highlight w:val="none"/>
        </w:rPr>
        <w:t>社保、医保、住房公积金缴费基数增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lang w:eastAsia="zh-CN"/>
        </w:rPr>
        <w:t>。</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项目支出45.00万元，比上年预算减少10.00万元，下降18.18%，主要原因是离休老干部人数减少，离休老干部及二等乙级伤残军人医疗费补助项目预算资金减少，</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w:t>
      </w:r>
      <w:r>
        <w:rPr>
          <w:rFonts w:hint="eastAsia" w:ascii="仿宋" w:hAnsi="微软雅黑" w:eastAsia="仿宋"/>
          <w:color w:val="auto"/>
          <w:sz w:val="28"/>
          <w:szCs w:val="28"/>
          <w:highlight w:val="none"/>
          <w:lang w:val="en-US" w:eastAsia="zh-CN"/>
        </w:rPr>
        <w:t>减少</w:t>
      </w:r>
      <w:r>
        <w:rPr>
          <w:rFonts w:hint="eastAsia" w:ascii="仿宋" w:hAnsi="微软雅黑" w:eastAsia="仿宋"/>
          <w:color w:val="auto"/>
          <w:sz w:val="28"/>
          <w:szCs w:val="28"/>
          <w:highlight w:val="none"/>
        </w:rPr>
        <w:t>。</w:t>
      </w:r>
    </w:p>
    <w:p>
      <w:pPr>
        <w:widowControl/>
        <w:spacing w:line="560" w:lineRule="exact"/>
        <w:ind w:firstLine="560" w:firstLineChars="200"/>
        <w:rPr>
          <w:rFonts w:ascii="仿宋" w:hAnsi="微软雅黑" w:eastAsia="仿宋"/>
          <w:b/>
          <w:color w:val="auto"/>
          <w:sz w:val="28"/>
          <w:szCs w:val="28"/>
          <w:highlight w:val="none"/>
        </w:rPr>
      </w:pPr>
      <w:r>
        <w:rPr>
          <w:rFonts w:hint="eastAsia" w:ascii="仿宋" w:hAnsi="微软雅黑" w:eastAsia="仿宋"/>
          <w:b/>
          <w:color w:val="auto"/>
          <w:sz w:val="28"/>
          <w:szCs w:val="28"/>
          <w:highlight w:val="none"/>
        </w:rPr>
        <w:t>（二）一般公共预算当年拨款结构情况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1、社会保障和就业支出（类）50.95万元，占9.16%。</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2、卫生健康支出（类）463.74万元，占83.35%。</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3、住房保障支出（类）41.71万元，占7.50%。</w:t>
      </w:r>
    </w:p>
    <w:p>
      <w:pPr>
        <w:widowControl/>
        <w:spacing w:line="560" w:lineRule="exact"/>
        <w:ind w:firstLine="560" w:firstLineChars="200"/>
        <w:rPr>
          <w:rFonts w:ascii="仿宋" w:hAnsi="微软雅黑" w:eastAsia="仿宋"/>
          <w:b/>
          <w:color w:val="auto"/>
          <w:sz w:val="28"/>
          <w:szCs w:val="28"/>
          <w:highlight w:val="none"/>
        </w:rPr>
      </w:pPr>
      <w:r>
        <w:rPr>
          <w:rFonts w:hint="eastAsia" w:ascii="仿宋" w:hAnsi="微软雅黑" w:eastAsia="仿宋"/>
          <w:b/>
          <w:color w:val="auto"/>
          <w:sz w:val="28"/>
          <w:szCs w:val="28"/>
          <w:highlight w:val="none"/>
        </w:rPr>
        <w:t>（三）一般公共预算当年拨款具体使用情况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1、社会保障和就业支出（类）行政事业单位养老支出（款）行政单位离退休（项）：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年预算数为1.59万元，比上年预算减少0.74万元，下降31.76%，主要原因是</w:t>
      </w:r>
      <w:r>
        <w:rPr>
          <w:rFonts w:hint="eastAsia" w:ascii="仿宋" w:hAnsi="微软雅黑" w:eastAsia="仿宋"/>
          <w:color w:val="auto"/>
          <w:sz w:val="28"/>
          <w:szCs w:val="28"/>
          <w:highlight w:val="none"/>
          <w:lang w:eastAsia="zh-CN"/>
        </w:rPr>
        <w:t>根据新医保发</w:t>
      </w:r>
      <w:r>
        <w:rPr>
          <w:rFonts w:hint="eastAsia" w:ascii="仿宋" w:hAnsi="微软雅黑" w:eastAsia="仿宋"/>
          <w:color w:val="auto"/>
          <w:sz w:val="28"/>
          <w:szCs w:val="28"/>
          <w:highlight w:val="none"/>
        </w:rPr>
        <w:t>〔202</w:t>
      </w:r>
      <w:r>
        <w:rPr>
          <w:rFonts w:hint="eastAsia" w:ascii="仿宋" w:hAnsi="微软雅黑" w:eastAsia="仿宋"/>
          <w:color w:val="auto"/>
          <w:sz w:val="28"/>
          <w:szCs w:val="28"/>
          <w:highlight w:val="none"/>
          <w:lang w:val="en-US" w:eastAsia="zh-CN"/>
        </w:rPr>
        <w:t>3</w:t>
      </w:r>
      <w:r>
        <w:rPr>
          <w:rFonts w:hint="eastAsia" w:ascii="仿宋" w:hAnsi="微软雅黑" w:eastAsia="仿宋"/>
          <w:color w:val="auto"/>
          <w:sz w:val="28"/>
          <w:szCs w:val="28"/>
          <w:highlight w:val="none"/>
        </w:rPr>
        <w:t>〕</w:t>
      </w:r>
      <w:r>
        <w:rPr>
          <w:rFonts w:hint="eastAsia" w:ascii="仿宋" w:hAnsi="微软雅黑" w:eastAsia="仿宋"/>
          <w:color w:val="auto"/>
          <w:sz w:val="28"/>
          <w:szCs w:val="28"/>
          <w:highlight w:val="none"/>
          <w:lang w:val="en-US" w:eastAsia="zh-CN"/>
        </w:rPr>
        <w:t>58号</w:t>
      </w:r>
      <w:r>
        <w:rPr>
          <w:rFonts w:hint="eastAsia" w:ascii="仿宋" w:hAnsi="微软雅黑" w:eastAsia="仿宋"/>
          <w:color w:val="auto"/>
          <w:sz w:val="28"/>
          <w:szCs w:val="28"/>
          <w:highlight w:val="none"/>
          <w:lang w:eastAsia="zh-CN"/>
        </w:rPr>
        <w:t>相关规定，退休人员医保缴费年限已满的，不再缴纳退休医疗保险，所以预算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w:t>
      </w:r>
      <w:r>
        <w:rPr>
          <w:rFonts w:hint="eastAsia" w:ascii="仿宋" w:hAnsi="微软雅黑" w:eastAsia="仿宋"/>
          <w:color w:val="auto"/>
          <w:sz w:val="28"/>
          <w:szCs w:val="28"/>
          <w:highlight w:val="none"/>
          <w:lang w:val="en-US" w:eastAsia="zh-CN"/>
        </w:rPr>
        <w:t>减少</w:t>
      </w:r>
      <w:r>
        <w:rPr>
          <w:rFonts w:hint="eastAsia" w:ascii="仿宋" w:hAnsi="微软雅黑" w:eastAsia="仿宋"/>
          <w:color w:val="auto"/>
          <w:sz w:val="28"/>
          <w:szCs w:val="28"/>
          <w:highlight w:val="none"/>
        </w:rPr>
        <w:t>。</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2、社会保障和就业支出（类）行政事业单位养老支出（款）机关事业单位基本养老保险缴费支出（项）：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年预算数为49.35万元，比上年预算增加2.52万元，增长5.38%，主要原因是</w:t>
      </w:r>
      <w:r>
        <w:rPr>
          <w:rFonts w:hint="eastAsia" w:ascii="仿宋" w:hAnsi="微软雅黑" w:eastAsia="仿宋"/>
          <w:color w:val="auto"/>
          <w:sz w:val="28"/>
          <w:szCs w:val="28"/>
          <w:highlight w:val="none"/>
          <w:lang w:val="en-US" w:eastAsia="zh-CN"/>
        </w:rPr>
        <w:t>在职</w:t>
      </w:r>
      <w:r>
        <w:rPr>
          <w:rFonts w:hint="eastAsia" w:ascii="仿宋" w:hAnsi="微软雅黑" w:eastAsia="仿宋"/>
          <w:color w:val="auto"/>
          <w:sz w:val="28"/>
          <w:szCs w:val="28"/>
          <w:highlight w:val="none"/>
        </w:rPr>
        <w:t>人员工资</w:t>
      </w:r>
      <w:r>
        <w:rPr>
          <w:rFonts w:hint="eastAsia" w:ascii="仿宋" w:hAnsi="微软雅黑" w:eastAsia="仿宋"/>
          <w:color w:val="auto"/>
          <w:sz w:val="28"/>
          <w:szCs w:val="28"/>
          <w:highlight w:val="none"/>
          <w:lang w:val="en-US" w:eastAsia="zh-CN"/>
        </w:rPr>
        <w:t>调增</w:t>
      </w:r>
      <w:r>
        <w:rPr>
          <w:rFonts w:hint="eastAsia" w:ascii="仿宋" w:hAnsi="微软雅黑" w:eastAsia="仿宋"/>
          <w:color w:val="auto"/>
          <w:sz w:val="28"/>
          <w:szCs w:val="28"/>
          <w:highlight w:val="none"/>
          <w:lang w:eastAsia="zh-CN"/>
        </w:rPr>
        <w:t>，</w:t>
      </w:r>
      <w:r>
        <w:rPr>
          <w:rFonts w:hint="eastAsia" w:ascii="仿宋" w:hAnsi="微软雅黑" w:eastAsia="仿宋"/>
          <w:color w:val="auto"/>
          <w:sz w:val="28"/>
          <w:szCs w:val="28"/>
          <w:highlight w:val="none"/>
        </w:rPr>
        <w:t>基本养老保险缴费</w:t>
      </w:r>
      <w:r>
        <w:rPr>
          <w:rFonts w:hint="eastAsia" w:ascii="仿宋" w:hAnsi="微软雅黑" w:eastAsia="仿宋"/>
          <w:color w:val="auto"/>
          <w:sz w:val="28"/>
          <w:szCs w:val="28"/>
          <w:highlight w:val="none"/>
          <w:lang w:eastAsia="zh-CN"/>
        </w:rPr>
        <w:t>基数</w:t>
      </w:r>
      <w:r>
        <w:rPr>
          <w:rFonts w:hint="eastAsia" w:ascii="仿宋" w:hAnsi="微软雅黑" w:eastAsia="仿宋"/>
          <w:color w:val="auto"/>
          <w:sz w:val="28"/>
          <w:szCs w:val="28"/>
          <w:highlight w:val="none"/>
        </w:rPr>
        <w:t>增加，</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rPr>
        <w:t>。</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color w:val="auto"/>
          <w:sz w:val="28"/>
          <w:szCs w:val="28"/>
          <w:highlight w:val="none"/>
        </w:rPr>
        <w:t>3、社会保障和就业支出（类）行政事业单位养老支出（款）机关事业单位职业年金缴费支出（项）：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年预算数为0.00万元，比上年预算减少23.41万元，下降100.00%，主要原因是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年职业年金由财政统一代编，部门减少了职业年金的支出预算，所以预算较上年</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4、卫生健康支出（类）行政事业单位医疗（款）行政单位医疗（项）：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年预算数为24.38万元，比上年预算增加0.97万元，增长4.14%，主要原因是</w:t>
      </w:r>
      <w:r>
        <w:rPr>
          <w:rFonts w:hint="eastAsia" w:ascii="仿宋" w:hAnsi="微软雅黑" w:eastAsia="仿宋"/>
          <w:color w:val="auto"/>
          <w:sz w:val="28"/>
          <w:szCs w:val="28"/>
          <w:highlight w:val="none"/>
          <w:lang w:val="en-US" w:eastAsia="zh-CN"/>
        </w:rPr>
        <w:t>在职</w:t>
      </w:r>
      <w:r>
        <w:rPr>
          <w:rFonts w:hint="eastAsia" w:ascii="仿宋" w:hAnsi="微软雅黑" w:eastAsia="仿宋"/>
          <w:color w:val="auto"/>
          <w:sz w:val="28"/>
          <w:szCs w:val="28"/>
          <w:highlight w:val="none"/>
        </w:rPr>
        <w:t>人员工资</w:t>
      </w:r>
      <w:r>
        <w:rPr>
          <w:rFonts w:hint="eastAsia" w:ascii="仿宋" w:hAnsi="微软雅黑" w:eastAsia="仿宋"/>
          <w:color w:val="auto"/>
          <w:sz w:val="28"/>
          <w:szCs w:val="28"/>
          <w:highlight w:val="none"/>
          <w:lang w:val="en-US" w:eastAsia="zh-CN"/>
        </w:rPr>
        <w:t>调增</w:t>
      </w:r>
      <w:r>
        <w:rPr>
          <w:rFonts w:hint="eastAsia" w:ascii="仿宋" w:hAnsi="微软雅黑" w:eastAsia="仿宋"/>
          <w:color w:val="auto"/>
          <w:sz w:val="28"/>
          <w:szCs w:val="28"/>
          <w:highlight w:val="none"/>
        </w:rPr>
        <w:t>，医疗缴费基数增加，</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rPr>
        <w:t>。</w:t>
      </w:r>
    </w:p>
    <w:p>
      <w:pPr>
        <w:widowControl/>
        <w:spacing w:line="560" w:lineRule="exact"/>
        <w:ind w:firstLine="560" w:firstLineChars="200"/>
        <w:rPr>
          <w:rFonts w:hint="eastAsia" w:ascii="仿宋" w:hAnsi="微软雅黑" w:eastAsia="仿宋"/>
          <w:color w:val="auto"/>
          <w:sz w:val="28"/>
          <w:szCs w:val="28"/>
          <w:highlight w:val="none"/>
          <w:lang w:eastAsia="zh-CN"/>
        </w:rPr>
      </w:pPr>
      <w:r>
        <w:rPr>
          <w:rFonts w:hint="eastAsia" w:ascii="仿宋" w:hAnsi="微软雅黑" w:eastAsia="仿宋"/>
          <w:color w:val="auto"/>
          <w:sz w:val="28"/>
          <w:szCs w:val="28"/>
          <w:highlight w:val="none"/>
        </w:rPr>
        <w:t>5、卫生健康支出（类）行政事业单位医疗（款）事业单位医疗（项）：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年预算数为40.00万元，比上年预算减少10.00万元，下降20.00%，主要原因是离休老干部人数减少，离休老干部及二等乙级伤残军人医疗费补助项目预算资金减少，</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w:t>
      </w:r>
      <w:r>
        <w:rPr>
          <w:rFonts w:hint="eastAsia" w:ascii="仿宋" w:hAnsi="微软雅黑" w:eastAsia="仿宋"/>
          <w:color w:val="auto"/>
          <w:sz w:val="28"/>
          <w:szCs w:val="28"/>
          <w:highlight w:val="none"/>
          <w:lang w:val="en-US" w:eastAsia="zh-CN"/>
        </w:rPr>
        <w:t>减少</w:t>
      </w:r>
      <w:r>
        <w:rPr>
          <w:rFonts w:hint="eastAsia" w:ascii="仿宋" w:hAnsi="微软雅黑" w:eastAsia="仿宋"/>
          <w:color w:val="auto"/>
          <w:sz w:val="28"/>
          <w:szCs w:val="28"/>
          <w:highlight w:val="none"/>
          <w:lang w:eastAsia="zh-CN"/>
        </w:rPr>
        <w:t>。</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6、卫生健康支出（类）行政事业单位医疗（款）公务员医疗补助（项）：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年预算数为2.02万元，比上年预算减少0.24万元，下降10.62%，主要原因是本年公务员医疗补助缴费基数不包含基础绩效奖，</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w:t>
      </w:r>
      <w:r>
        <w:rPr>
          <w:rFonts w:hint="eastAsia" w:ascii="仿宋" w:hAnsi="微软雅黑" w:eastAsia="仿宋"/>
          <w:color w:val="auto"/>
          <w:sz w:val="28"/>
          <w:szCs w:val="28"/>
          <w:highlight w:val="none"/>
          <w:lang w:val="en-US" w:eastAsia="zh-CN"/>
        </w:rPr>
        <w:t>减少</w:t>
      </w:r>
      <w:r>
        <w:rPr>
          <w:rFonts w:hint="eastAsia" w:ascii="仿宋" w:hAnsi="微软雅黑" w:eastAsia="仿宋"/>
          <w:color w:val="auto"/>
          <w:sz w:val="28"/>
          <w:szCs w:val="28"/>
          <w:highlight w:val="none"/>
        </w:rPr>
        <w:t>。</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7、卫生健康支出（类）医疗保障管理事务（款）行政运行（项）：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年预算数为108.87万元，比上年预算增加6.23万元，增长6.07%，主要原因是</w:t>
      </w:r>
      <w:r>
        <w:rPr>
          <w:rFonts w:hint="eastAsia" w:ascii="仿宋" w:hAnsi="微软雅黑" w:eastAsia="仿宋"/>
          <w:color w:val="auto"/>
          <w:sz w:val="28"/>
          <w:szCs w:val="28"/>
          <w:highlight w:val="none"/>
          <w:lang w:val="en-US" w:eastAsia="zh-CN"/>
        </w:rPr>
        <w:t>在职</w:t>
      </w:r>
      <w:r>
        <w:rPr>
          <w:rFonts w:hint="eastAsia" w:ascii="仿宋" w:hAnsi="微软雅黑" w:eastAsia="仿宋"/>
          <w:color w:val="auto"/>
          <w:sz w:val="28"/>
          <w:szCs w:val="28"/>
          <w:highlight w:val="none"/>
        </w:rPr>
        <w:t>人员工资</w:t>
      </w:r>
      <w:r>
        <w:rPr>
          <w:rFonts w:hint="eastAsia" w:ascii="仿宋" w:hAnsi="微软雅黑" w:eastAsia="仿宋"/>
          <w:color w:val="auto"/>
          <w:sz w:val="28"/>
          <w:szCs w:val="28"/>
          <w:highlight w:val="none"/>
          <w:lang w:val="en-US" w:eastAsia="zh-CN"/>
        </w:rPr>
        <w:t>调增，</w:t>
      </w:r>
      <w:r>
        <w:rPr>
          <w:rFonts w:hint="eastAsia" w:ascii="仿宋" w:hAnsi="微软雅黑" w:eastAsia="仿宋"/>
          <w:color w:val="auto"/>
          <w:sz w:val="28"/>
          <w:szCs w:val="28"/>
          <w:highlight w:val="none"/>
        </w:rPr>
        <w:t>基本工资、津贴补贴、其他社会保障缴费、工会费和福利费等增加，</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rPr>
        <w:t>。</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8、卫生健康支出（类）医疗保障管理事务（款）事业运行（项）：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年预算数为283.48万元，比上年预算增加22.32万元，增长8.55%，主要原因是</w:t>
      </w:r>
      <w:r>
        <w:rPr>
          <w:rFonts w:hint="eastAsia" w:ascii="仿宋" w:hAnsi="微软雅黑" w:eastAsia="仿宋"/>
          <w:color w:val="auto"/>
          <w:sz w:val="28"/>
          <w:szCs w:val="28"/>
          <w:highlight w:val="none"/>
          <w:lang w:val="en-US" w:eastAsia="zh-CN"/>
        </w:rPr>
        <w:t>在职</w:t>
      </w:r>
      <w:r>
        <w:rPr>
          <w:rFonts w:hint="eastAsia" w:ascii="仿宋" w:hAnsi="微软雅黑" w:eastAsia="仿宋"/>
          <w:color w:val="auto"/>
          <w:sz w:val="28"/>
          <w:szCs w:val="28"/>
          <w:highlight w:val="none"/>
        </w:rPr>
        <w:t>人员工资</w:t>
      </w:r>
      <w:r>
        <w:rPr>
          <w:rFonts w:hint="eastAsia" w:ascii="仿宋" w:hAnsi="微软雅黑" w:eastAsia="仿宋"/>
          <w:color w:val="auto"/>
          <w:sz w:val="28"/>
          <w:szCs w:val="28"/>
          <w:highlight w:val="none"/>
          <w:lang w:val="en-US" w:eastAsia="zh-CN"/>
        </w:rPr>
        <w:t>调增，</w:t>
      </w:r>
      <w:r>
        <w:rPr>
          <w:rFonts w:hint="eastAsia" w:ascii="仿宋" w:hAnsi="微软雅黑" w:eastAsia="仿宋"/>
          <w:color w:val="auto"/>
          <w:sz w:val="28"/>
          <w:szCs w:val="28"/>
          <w:highlight w:val="none"/>
        </w:rPr>
        <w:t>基本工资、津贴补贴、绩效工资等增加</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rPr>
        <w:t>。</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9、卫生健康支出（类）医疗保障管理事务（款）其他医疗保障管理事务支出（项）：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年预算数为5.00万元，比上年预算增加0.00万元，增长0.00%，主要原因是</w:t>
      </w:r>
      <w:r>
        <w:rPr>
          <w:rFonts w:hint="eastAsia" w:ascii="仿宋" w:hAnsi="微软雅黑" w:eastAsia="仿宋"/>
          <w:color w:val="auto"/>
          <w:sz w:val="28"/>
          <w:szCs w:val="28"/>
          <w:highlight w:val="none"/>
          <w:lang w:val="en-US" w:eastAsia="zh-CN"/>
        </w:rPr>
        <w:t>2025年</w:t>
      </w:r>
      <w:r>
        <w:rPr>
          <w:rFonts w:hint="eastAsia" w:ascii="仿宋" w:hAnsi="微软雅黑" w:eastAsia="仿宋"/>
          <w:color w:val="auto"/>
          <w:sz w:val="28"/>
          <w:szCs w:val="28"/>
          <w:highlight w:val="none"/>
        </w:rPr>
        <w:t>与</w:t>
      </w:r>
      <w:r>
        <w:rPr>
          <w:rFonts w:hint="eastAsia" w:ascii="仿宋" w:hAnsi="微软雅黑" w:eastAsia="仿宋"/>
          <w:color w:val="auto"/>
          <w:sz w:val="28"/>
          <w:szCs w:val="28"/>
          <w:highlight w:val="none"/>
          <w:lang w:val="en-US" w:eastAsia="zh-CN"/>
        </w:rPr>
        <w:t>2026年预算安排一致，</w:t>
      </w:r>
      <w:r>
        <w:rPr>
          <w:rFonts w:hint="eastAsia" w:ascii="仿宋" w:hAnsi="微软雅黑" w:eastAsia="仿宋"/>
          <w:color w:val="auto"/>
          <w:sz w:val="28"/>
          <w:szCs w:val="28"/>
          <w:highlight w:val="none"/>
        </w:rPr>
        <w:t>无变化。</w:t>
      </w:r>
    </w:p>
    <w:p>
      <w:pPr>
        <w:widowControl/>
        <w:spacing w:line="560" w:lineRule="exact"/>
        <w:ind w:firstLine="560" w:firstLineChars="200"/>
        <w:rPr>
          <w:rFonts w:hint="eastAsia" w:ascii="仿宋" w:hAnsi="微软雅黑" w:eastAsia="仿宋"/>
          <w:color w:val="auto"/>
          <w:sz w:val="28"/>
          <w:szCs w:val="28"/>
          <w:highlight w:val="none"/>
          <w:lang w:eastAsia="zh-CN"/>
        </w:rPr>
      </w:pPr>
      <w:r>
        <w:rPr>
          <w:rFonts w:hint="eastAsia" w:ascii="仿宋" w:hAnsi="微软雅黑" w:eastAsia="仿宋"/>
          <w:color w:val="auto"/>
          <w:sz w:val="28"/>
          <w:szCs w:val="28"/>
          <w:highlight w:val="none"/>
        </w:rPr>
        <w:t>10、住房保障支出（类）住房改革支出（款）住房公积金（项）：</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年预算数为41.71万元，比上年预算增加3.41万元，增长8.90%，主要原因是</w:t>
      </w:r>
      <w:r>
        <w:rPr>
          <w:rFonts w:hint="eastAsia" w:ascii="仿宋" w:hAnsi="微软雅黑" w:eastAsia="仿宋"/>
          <w:color w:val="auto"/>
          <w:sz w:val="28"/>
          <w:szCs w:val="28"/>
          <w:highlight w:val="none"/>
          <w:lang w:val="en-US" w:eastAsia="zh-CN"/>
        </w:rPr>
        <w:t>在职</w:t>
      </w:r>
      <w:r>
        <w:rPr>
          <w:rFonts w:hint="eastAsia" w:ascii="仿宋" w:hAnsi="微软雅黑" w:eastAsia="仿宋"/>
          <w:color w:val="auto"/>
          <w:sz w:val="28"/>
          <w:szCs w:val="28"/>
          <w:highlight w:val="none"/>
        </w:rPr>
        <w:t>人员工资</w:t>
      </w:r>
      <w:r>
        <w:rPr>
          <w:rFonts w:hint="eastAsia" w:ascii="仿宋" w:hAnsi="微软雅黑" w:eastAsia="仿宋"/>
          <w:color w:val="auto"/>
          <w:sz w:val="28"/>
          <w:szCs w:val="28"/>
          <w:highlight w:val="none"/>
          <w:lang w:val="en-US" w:eastAsia="zh-CN"/>
        </w:rPr>
        <w:t>调增</w:t>
      </w:r>
      <w:r>
        <w:rPr>
          <w:rFonts w:hint="eastAsia" w:ascii="仿宋" w:hAnsi="微软雅黑" w:eastAsia="仿宋"/>
          <w:color w:val="auto"/>
          <w:sz w:val="28"/>
          <w:szCs w:val="28"/>
          <w:highlight w:val="none"/>
        </w:rPr>
        <w:t>，住房公积金缴费基数增加，</w:t>
      </w:r>
      <w:r>
        <w:rPr>
          <w:rFonts w:hint="eastAsia" w:ascii="仿宋" w:hAnsi="微软雅黑" w:eastAsia="仿宋"/>
          <w:color w:val="auto"/>
          <w:sz w:val="28"/>
          <w:szCs w:val="28"/>
          <w:highlight w:val="none"/>
          <w:lang w:eastAsia="zh-CN"/>
        </w:rPr>
        <w:t>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lang w:eastAsia="zh-CN"/>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lang w:eastAsia="zh-CN"/>
        </w:rPr>
        <w:t>。</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年一般公共预算基本支出情况说明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额敏县医疗保障局</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年一般公共预算基本支出511.40万元，其中：</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人员经费469.99万元，主要包括：基本工资、津贴补贴、奖金、绩效工资、机关事业单位基本养老保险缴费、职工基本医疗保险缴费、公务员医疗补助缴费、其他社会保障缴费、住房公积金、退休费、奖励金。</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公用经费41.41万元，主要包括：办公费、手续费、水费、电费、邮电费、取暖费、差旅费、维修（护）费、培训费、公务接待费、劳务费、委托业务费、工会经费、福利费、公务用车运行维护费、其他交通费用。</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年一般公共预算项目支出情况说明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（一）项目名称：</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年离休老干部及二等乙级伤残军人医疗费补助资金项目-县级配套资金</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w:t>
      </w:r>
      <w:r>
        <w:rPr>
          <w:rFonts w:hint="eastAsia" w:ascii="仿宋" w:hAnsi="微软雅黑" w:eastAsia="仿宋"/>
          <w:color w:val="auto"/>
          <w:sz w:val="28"/>
          <w:szCs w:val="28"/>
          <w:highlight w:val="none"/>
          <w:lang w:val="en-US" w:eastAsia="zh-CN"/>
        </w:rPr>
        <w:t>额政办发</w:t>
      </w:r>
      <w:r>
        <w:rPr>
          <w:rFonts w:hint="eastAsia" w:ascii="仿宋" w:hAnsi="微软雅黑" w:eastAsia="仿宋"/>
          <w:color w:val="auto"/>
          <w:sz w:val="28"/>
          <w:szCs w:val="28"/>
          <w:highlight w:val="none"/>
        </w:rPr>
        <w:t>〔20</w:t>
      </w:r>
      <w:r>
        <w:rPr>
          <w:rFonts w:hint="eastAsia" w:ascii="仿宋" w:hAnsi="微软雅黑" w:eastAsia="仿宋"/>
          <w:color w:val="auto"/>
          <w:sz w:val="28"/>
          <w:szCs w:val="28"/>
          <w:highlight w:val="none"/>
          <w:lang w:val="en-US" w:eastAsia="zh-CN"/>
        </w:rPr>
        <w:t>03</w:t>
      </w:r>
      <w:r>
        <w:rPr>
          <w:rFonts w:hint="eastAsia" w:ascii="仿宋" w:hAnsi="微软雅黑" w:eastAsia="仿宋"/>
          <w:color w:val="auto"/>
          <w:sz w:val="28"/>
          <w:szCs w:val="28"/>
          <w:highlight w:val="none"/>
        </w:rPr>
        <w:t>〕9</w:t>
      </w:r>
      <w:r>
        <w:rPr>
          <w:rFonts w:hint="eastAsia" w:ascii="仿宋" w:hAnsi="微软雅黑" w:eastAsia="仿宋"/>
          <w:color w:val="auto"/>
          <w:sz w:val="28"/>
          <w:szCs w:val="28"/>
          <w:highlight w:val="none"/>
          <w:lang w:val="en-US" w:eastAsia="zh-CN"/>
        </w:rPr>
        <w:t>3</w:t>
      </w:r>
      <w:r>
        <w:rPr>
          <w:rFonts w:hint="eastAsia" w:ascii="仿宋" w:hAnsi="微软雅黑" w:eastAsia="仿宋"/>
          <w:color w:val="auto"/>
          <w:sz w:val="28"/>
          <w:szCs w:val="28"/>
          <w:highlight w:val="none"/>
        </w:rPr>
        <w:t>号</w:t>
      </w:r>
      <w:r>
        <w:rPr>
          <w:rFonts w:hint="eastAsia" w:ascii="仿宋" w:hAnsi="微软雅黑" w:eastAsia="仿宋"/>
          <w:color w:val="auto"/>
          <w:sz w:val="28"/>
          <w:szCs w:val="28"/>
          <w:highlight w:val="none"/>
          <w:lang w:val="en-US" w:eastAsia="zh-CN"/>
        </w:rPr>
        <w:t>关于印发《额敏县离休人员医疗管理暂行办法》的通知及2026年工作计划</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预算安排规模：40.00万元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项目承担单位：额敏县医疗保障局</w:t>
      </w:r>
    </w:p>
    <w:p>
      <w:pPr>
        <w:widowControl/>
        <w:spacing w:line="560" w:lineRule="exact"/>
        <w:ind w:firstLine="560" w:firstLineChars="200"/>
        <w:rPr>
          <w:rFonts w:hint="eastAsia" w:ascii="仿宋" w:hAnsi="微软雅黑" w:eastAsia="仿宋"/>
          <w:color w:val="auto"/>
          <w:sz w:val="28"/>
          <w:szCs w:val="28"/>
          <w:highlight w:val="none"/>
          <w:lang w:val="en-US" w:eastAsia="zh-CN"/>
        </w:rPr>
      </w:pPr>
      <w:r>
        <w:rPr>
          <w:rFonts w:hint="eastAsia" w:ascii="仿宋" w:hAnsi="微软雅黑" w:eastAsia="仿宋"/>
          <w:color w:val="auto"/>
          <w:sz w:val="28"/>
          <w:szCs w:val="28"/>
          <w:highlight w:val="none"/>
        </w:rPr>
        <w:t>资金分配情况：</w:t>
      </w:r>
      <w:r>
        <w:rPr>
          <w:rFonts w:hint="eastAsia" w:ascii="仿宋" w:hAnsi="微软雅黑" w:eastAsia="仿宋"/>
          <w:color w:val="auto"/>
          <w:sz w:val="28"/>
          <w:szCs w:val="28"/>
          <w:highlight w:val="none"/>
          <w:lang w:val="en-US" w:eastAsia="zh-CN"/>
        </w:rPr>
        <w:t>40万元全部用于</w:t>
      </w:r>
      <w:r>
        <w:rPr>
          <w:rFonts w:hint="eastAsia" w:ascii="仿宋" w:hAnsi="微软雅黑" w:eastAsia="仿宋"/>
          <w:color w:val="auto"/>
          <w:sz w:val="28"/>
          <w:szCs w:val="28"/>
          <w:highlight w:val="none"/>
        </w:rPr>
        <w:t>离休老干部及二等乙级伤残军人</w:t>
      </w:r>
      <w:r>
        <w:rPr>
          <w:rFonts w:hint="eastAsia" w:ascii="仿宋" w:hAnsi="微软雅黑" w:eastAsia="仿宋"/>
          <w:color w:val="auto"/>
          <w:sz w:val="28"/>
          <w:szCs w:val="28"/>
          <w:highlight w:val="none"/>
          <w:lang w:eastAsia="zh-CN"/>
        </w:rPr>
        <w:t>医疗费</w:t>
      </w:r>
    </w:p>
    <w:p>
      <w:pPr>
        <w:widowControl/>
        <w:spacing w:line="560" w:lineRule="exact"/>
        <w:ind w:firstLine="560" w:firstLineChars="200"/>
        <w:rPr>
          <w:rFonts w:hint="default" w:ascii="仿宋" w:hAnsi="微软雅黑" w:eastAsia="仿宋"/>
          <w:color w:val="auto"/>
          <w:sz w:val="28"/>
          <w:szCs w:val="28"/>
          <w:highlight w:val="none"/>
          <w:lang w:val="en-US" w:eastAsia="zh-CN"/>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年1月1日</w:t>
      </w:r>
      <w:r>
        <w:rPr>
          <w:rFonts w:hint="eastAsia" w:ascii="仿宋" w:hAnsi="微软雅黑" w:eastAsia="仿宋"/>
          <w:color w:val="auto"/>
          <w:sz w:val="28"/>
          <w:szCs w:val="28"/>
          <w:highlight w:val="none"/>
          <w:lang w:eastAsia="zh-CN"/>
        </w:rPr>
        <w:t>—</w:t>
      </w:r>
      <w:r>
        <w:rPr>
          <w:rFonts w:hint="eastAsia" w:ascii="仿宋" w:hAnsi="微软雅黑" w:eastAsia="仿宋"/>
          <w:color w:val="auto"/>
          <w:sz w:val="28"/>
          <w:szCs w:val="28"/>
          <w:highlight w:val="none"/>
          <w:lang w:val="en-US" w:eastAsia="zh-CN"/>
        </w:rPr>
        <w:t>2026年12月31日</w:t>
      </w:r>
    </w:p>
    <w:p>
      <w:pPr>
        <w:widowControl/>
        <w:spacing w:line="560" w:lineRule="exact"/>
        <w:ind w:firstLine="560" w:firstLineChars="200"/>
        <w:rPr>
          <w:rFonts w:hint="default" w:ascii="仿宋" w:hAnsi="微软雅黑" w:eastAsia="仿宋"/>
          <w:color w:val="auto"/>
          <w:sz w:val="28"/>
          <w:szCs w:val="28"/>
          <w:highlight w:val="none"/>
          <w:lang w:val="en-US" w:eastAsia="zh-CN"/>
        </w:rPr>
      </w:pPr>
      <w:r>
        <w:rPr>
          <w:rFonts w:hint="eastAsia" w:ascii="仿宋" w:hAnsi="微软雅黑" w:eastAsia="仿宋"/>
          <w:color w:val="auto"/>
          <w:sz w:val="28"/>
          <w:szCs w:val="28"/>
          <w:highlight w:val="none"/>
        </w:rPr>
        <w:t>资金来源：</w:t>
      </w:r>
      <w:r>
        <w:rPr>
          <w:rFonts w:hint="eastAsia" w:ascii="仿宋" w:hAnsi="微软雅黑" w:eastAsia="仿宋"/>
          <w:color w:val="auto"/>
          <w:sz w:val="28"/>
          <w:szCs w:val="28"/>
          <w:highlight w:val="none"/>
          <w:lang w:val="en-US" w:eastAsia="zh-CN"/>
        </w:rPr>
        <w:t>本级财政资金</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补贴人数：离休老干部8人，二等乙级以上革命伤残军人1人，共9人。</w:t>
      </w:r>
    </w:p>
    <w:p>
      <w:pPr>
        <w:widowControl/>
        <w:spacing w:line="560" w:lineRule="exact"/>
        <w:ind w:firstLine="560" w:firstLineChars="200"/>
        <w:rPr>
          <w:rFonts w:hint="eastAsia" w:ascii="仿宋" w:hAnsi="微软雅黑" w:eastAsia="仿宋"/>
          <w:color w:val="auto"/>
          <w:sz w:val="28"/>
          <w:szCs w:val="28"/>
          <w:highlight w:val="none"/>
          <w:lang w:eastAsia="zh-CN"/>
        </w:rPr>
      </w:pPr>
      <w:r>
        <w:rPr>
          <w:rFonts w:hint="eastAsia" w:ascii="仿宋" w:hAnsi="微软雅黑" w:eastAsia="仿宋"/>
          <w:color w:val="auto"/>
          <w:sz w:val="28"/>
          <w:szCs w:val="28"/>
          <w:highlight w:val="none"/>
        </w:rPr>
        <w:t>补贴标准：门诊每人每月600元，住院及时报销</w:t>
      </w:r>
      <w:r>
        <w:rPr>
          <w:rFonts w:hint="eastAsia" w:ascii="仿宋" w:hAnsi="微软雅黑" w:eastAsia="仿宋"/>
          <w:color w:val="auto"/>
          <w:sz w:val="28"/>
          <w:szCs w:val="28"/>
          <w:highlight w:val="none"/>
          <w:lang w:eastAsia="zh-CN"/>
        </w:rPr>
        <w:t>。</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补贴范围：离休老干部8人，二等乙级以上革命伤残军人1人。</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补贴方式：门诊费用由医保中心直接拨付到个人银行账户中，住院费用由县人民医院填报资料，医保中心审核后拨付相关费用。</w:t>
      </w:r>
    </w:p>
    <w:p>
      <w:pPr>
        <w:widowControl/>
        <w:spacing w:line="560" w:lineRule="exact"/>
        <w:ind w:firstLine="560" w:firstLineChars="200"/>
        <w:rPr>
          <w:rFonts w:hint="eastAsia" w:ascii="仿宋" w:hAnsi="微软雅黑" w:eastAsia="仿宋"/>
          <w:color w:val="auto"/>
          <w:sz w:val="28"/>
          <w:szCs w:val="28"/>
          <w:highlight w:val="none"/>
          <w:lang w:eastAsia="zh-CN"/>
        </w:rPr>
      </w:pPr>
      <w:r>
        <w:rPr>
          <w:rFonts w:hint="eastAsia" w:ascii="仿宋" w:hAnsi="微软雅黑" w:eastAsia="仿宋"/>
          <w:color w:val="auto"/>
          <w:sz w:val="28"/>
          <w:szCs w:val="28"/>
          <w:highlight w:val="none"/>
        </w:rPr>
        <w:t>发放程序：门诊费用由医保中心按季度每人每月600元的标准打入个人银行账户中；住院及时报销</w:t>
      </w:r>
      <w:r>
        <w:rPr>
          <w:rFonts w:hint="eastAsia" w:ascii="仿宋" w:hAnsi="微软雅黑" w:eastAsia="仿宋"/>
          <w:color w:val="auto"/>
          <w:sz w:val="28"/>
          <w:szCs w:val="28"/>
          <w:highlight w:val="none"/>
          <w:lang w:eastAsia="zh-CN"/>
        </w:rPr>
        <w:t>。</w:t>
      </w:r>
    </w:p>
    <w:p>
      <w:pPr>
        <w:widowControl/>
        <w:spacing w:line="560" w:lineRule="exact"/>
        <w:ind w:firstLine="560" w:firstLineChars="200"/>
        <w:rPr>
          <w:rFonts w:ascii="仿宋" w:hAnsi="微软雅黑" w:eastAsia="仿宋"/>
          <w:color w:val="auto"/>
          <w:sz w:val="28"/>
          <w:szCs w:val="28"/>
          <w:highlight w:val="none"/>
        </w:rPr>
      </w:pPr>
      <w:bookmarkStart w:id="0" w:name="OLE_LINK1"/>
      <w:r>
        <w:rPr>
          <w:rFonts w:hint="eastAsia" w:ascii="仿宋" w:hAnsi="微软雅黑" w:eastAsia="仿宋"/>
          <w:color w:val="auto"/>
          <w:sz w:val="28"/>
          <w:szCs w:val="28"/>
          <w:highlight w:val="none"/>
        </w:rPr>
        <w:t>受益人群</w:t>
      </w:r>
      <w:bookmarkEnd w:id="0"/>
      <w:r>
        <w:rPr>
          <w:rFonts w:hint="eastAsia" w:ascii="仿宋" w:hAnsi="微软雅黑" w:eastAsia="仿宋"/>
          <w:color w:val="auto"/>
          <w:sz w:val="28"/>
          <w:szCs w:val="28"/>
          <w:highlight w:val="none"/>
        </w:rPr>
        <w:t>和社会效益：受益人群</w:t>
      </w:r>
      <w:r>
        <w:rPr>
          <w:rFonts w:hint="eastAsia" w:ascii="仿宋" w:hAnsi="微软雅黑" w:eastAsia="仿宋"/>
          <w:color w:val="auto"/>
          <w:sz w:val="28"/>
          <w:szCs w:val="28"/>
          <w:highlight w:val="none"/>
          <w:lang w:eastAsia="zh-CN"/>
        </w:rPr>
        <w:t>为</w:t>
      </w:r>
      <w:r>
        <w:rPr>
          <w:rFonts w:hint="eastAsia" w:ascii="仿宋" w:hAnsi="微软雅黑" w:eastAsia="仿宋"/>
          <w:color w:val="auto"/>
          <w:sz w:val="28"/>
          <w:szCs w:val="28"/>
          <w:highlight w:val="none"/>
        </w:rPr>
        <w:t>离休老干部</w:t>
      </w:r>
      <w:r>
        <w:rPr>
          <w:rFonts w:hint="eastAsia" w:ascii="仿宋" w:hAnsi="微软雅黑" w:eastAsia="仿宋"/>
          <w:color w:val="auto"/>
          <w:sz w:val="28"/>
          <w:szCs w:val="28"/>
          <w:highlight w:val="none"/>
          <w:lang w:eastAsia="zh-CN"/>
        </w:rPr>
        <w:t>及</w:t>
      </w:r>
      <w:r>
        <w:rPr>
          <w:rFonts w:hint="eastAsia" w:ascii="仿宋" w:hAnsi="微软雅黑" w:eastAsia="仿宋"/>
          <w:color w:val="auto"/>
          <w:sz w:val="28"/>
          <w:szCs w:val="28"/>
          <w:highlight w:val="none"/>
        </w:rPr>
        <w:t>二等乙级以上革命伤残军</w:t>
      </w:r>
      <w:r>
        <w:rPr>
          <w:rFonts w:hint="eastAsia" w:ascii="仿宋" w:hAnsi="微软雅黑" w:eastAsia="仿宋"/>
          <w:color w:val="auto"/>
          <w:sz w:val="28"/>
          <w:szCs w:val="28"/>
          <w:highlight w:val="none"/>
          <w:lang w:eastAsia="zh-CN"/>
        </w:rPr>
        <w:t>人</w:t>
      </w:r>
      <w:r>
        <w:rPr>
          <w:rFonts w:hint="eastAsia" w:ascii="仿宋" w:hAnsi="微软雅黑" w:eastAsia="仿宋"/>
          <w:color w:val="auto"/>
          <w:sz w:val="28"/>
          <w:szCs w:val="28"/>
          <w:highlight w:val="none"/>
        </w:rPr>
        <w:t>。提供医疗费补助，体现了党和政府以及社会对这些特殊群体的关爱与尊重，有助于在全社会营造敬重英雄、关爱功臣的良好氛围。</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（二）项目名称：塔地财社〔</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〕99号</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年自治区财政全民参保及医疗保障服务项目补助资金</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设立的政策依据：塔地财社〔</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〕99号《</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年自治区财政全民参保及医疗保障服务项目补助资金》</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预算安排规模：5.00万元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项目承担单位：额敏县医疗保障局</w:t>
      </w:r>
    </w:p>
    <w:p>
      <w:pPr>
        <w:widowControl/>
        <w:spacing w:line="560" w:lineRule="exact"/>
        <w:ind w:firstLine="560" w:firstLineChars="200"/>
        <w:rPr>
          <w:rFonts w:hint="eastAsia" w:ascii="仿宋" w:hAnsi="微软雅黑" w:eastAsia="仿宋"/>
          <w:color w:val="auto"/>
          <w:sz w:val="28"/>
          <w:szCs w:val="28"/>
          <w:highlight w:val="none"/>
          <w:lang w:eastAsia="zh-CN"/>
        </w:rPr>
      </w:pPr>
      <w:r>
        <w:rPr>
          <w:rFonts w:hint="eastAsia" w:ascii="仿宋" w:hAnsi="微软雅黑" w:eastAsia="仿宋"/>
          <w:color w:val="auto"/>
          <w:sz w:val="28"/>
          <w:szCs w:val="28"/>
          <w:highlight w:val="none"/>
        </w:rPr>
        <w:t>资金分配情况：5.00万元</w:t>
      </w:r>
      <w:r>
        <w:rPr>
          <w:rFonts w:hint="eastAsia" w:ascii="仿宋" w:hAnsi="微软雅黑" w:eastAsia="仿宋"/>
          <w:color w:val="auto"/>
          <w:sz w:val="28"/>
          <w:szCs w:val="28"/>
          <w:highlight w:val="none"/>
          <w:lang w:val="en-US" w:eastAsia="zh-CN"/>
        </w:rPr>
        <w:t>全部用于</w:t>
      </w:r>
      <w:r>
        <w:rPr>
          <w:rFonts w:hint="eastAsia" w:ascii="仿宋" w:hAnsi="微软雅黑" w:eastAsia="仿宋"/>
          <w:color w:val="auto"/>
          <w:sz w:val="28"/>
          <w:szCs w:val="28"/>
          <w:highlight w:val="none"/>
        </w:rPr>
        <w:t>全民参保及医疗保障服务</w:t>
      </w:r>
      <w:r>
        <w:rPr>
          <w:rFonts w:hint="eastAsia" w:ascii="仿宋" w:hAnsi="微软雅黑" w:eastAsia="仿宋"/>
          <w:color w:val="auto"/>
          <w:sz w:val="28"/>
          <w:szCs w:val="28"/>
          <w:highlight w:val="none"/>
          <w:lang w:val="en-US" w:eastAsia="zh-CN"/>
        </w:rPr>
        <w:t>业务所需</w:t>
      </w:r>
      <w:r>
        <w:rPr>
          <w:rFonts w:hint="eastAsia" w:ascii="仿宋" w:hAnsi="微软雅黑" w:eastAsia="仿宋"/>
          <w:color w:val="auto"/>
          <w:sz w:val="28"/>
          <w:szCs w:val="28"/>
          <w:highlight w:val="none"/>
          <w:lang w:eastAsia="zh-CN"/>
        </w:rPr>
        <w:t>办公费</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资金执行时间：</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年1月1日</w:t>
      </w:r>
      <w:r>
        <w:rPr>
          <w:rFonts w:hint="eastAsia" w:ascii="仿宋" w:hAnsi="微软雅黑" w:eastAsia="仿宋"/>
          <w:color w:val="auto"/>
          <w:sz w:val="28"/>
          <w:szCs w:val="28"/>
          <w:highlight w:val="none"/>
          <w:lang w:eastAsia="zh-CN"/>
        </w:rPr>
        <w:t>—</w:t>
      </w:r>
      <w:r>
        <w:rPr>
          <w:rFonts w:hint="eastAsia" w:ascii="仿宋" w:hAnsi="微软雅黑" w:eastAsia="仿宋"/>
          <w:color w:val="auto"/>
          <w:sz w:val="28"/>
          <w:szCs w:val="28"/>
          <w:highlight w:val="none"/>
          <w:lang w:val="en-US" w:eastAsia="zh-CN"/>
        </w:rPr>
        <w:t>2026年12月31日</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年政府性基金预算拨款情况说明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额敏县医疗保障局</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年国有资本经营预算拨款情况说明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额敏县医疗保障局</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年财政拨款“三公”经费预算情况说明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额敏县医疗保障局</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年财政拨款“三公”经费数为1.80万元，其中：因公出国（境）费0.00万元，公务用车购置费0.00万元，公务用车运行费1.50万元，公务接待费0.30万元。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年财政拨款“三公”经费预算比上年预算增加0.80万元，增长80.00%，其中：因公出国（境）费增加0.00万元，增长0.00%，主要原因是</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年与</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年均未安排因公出国（境）费用</w:t>
      </w:r>
      <w:r>
        <w:rPr>
          <w:rFonts w:hint="eastAsia" w:ascii="仿宋" w:hAnsi="微软雅黑" w:eastAsia="仿宋"/>
          <w:color w:val="auto"/>
          <w:sz w:val="28"/>
          <w:szCs w:val="28"/>
          <w:highlight w:val="none"/>
          <w:lang w:eastAsia="zh-CN"/>
        </w:rPr>
        <w:t>预算</w:t>
      </w:r>
      <w:r>
        <w:rPr>
          <w:rFonts w:hint="eastAsia" w:ascii="仿宋" w:hAnsi="微软雅黑" w:eastAsia="仿宋"/>
          <w:color w:val="auto"/>
          <w:sz w:val="28"/>
          <w:szCs w:val="28"/>
          <w:highlight w:val="none"/>
        </w:rPr>
        <w:t>；公务用车购置费增加0.00万元，增长0.00%，主要原因是</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年与</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年均未安排公务用车购置</w:t>
      </w:r>
      <w:r>
        <w:rPr>
          <w:rFonts w:hint="eastAsia" w:ascii="仿宋" w:hAnsi="微软雅黑" w:eastAsia="仿宋"/>
          <w:color w:val="auto"/>
          <w:sz w:val="28"/>
          <w:szCs w:val="28"/>
          <w:highlight w:val="none"/>
          <w:lang w:eastAsia="zh-CN"/>
        </w:rPr>
        <w:t>费预算</w:t>
      </w:r>
      <w:r>
        <w:rPr>
          <w:rFonts w:hint="eastAsia" w:ascii="仿宋" w:hAnsi="微软雅黑" w:eastAsia="仿宋"/>
          <w:color w:val="auto"/>
          <w:sz w:val="28"/>
          <w:szCs w:val="28"/>
          <w:highlight w:val="none"/>
        </w:rPr>
        <w:t>；公务用车运行费增加1.00万元，增长200.00%，主要原因是本年单位新增1辆轿车，公务用车运行费</w:t>
      </w:r>
      <w:r>
        <w:rPr>
          <w:rFonts w:hint="eastAsia" w:ascii="仿宋" w:hAnsi="微软雅黑" w:eastAsia="仿宋"/>
          <w:color w:val="auto"/>
          <w:sz w:val="28"/>
          <w:szCs w:val="28"/>
          <w:highlight w:val="none"/>
          <w:lang w:eastAsia="zh-CN"/>
        </w:rPr>
        <w:t>预算</w:t>
      </w:r>
      <w:r>
        <w:rPr>
          <w:rFonts w:hint="eastAsia" w:ascii="仿宋" w:hAnsi="微软雅黑" w:eastAsia="仿宋"/>
          <w:color w:val="auto"/>
          <w:sz w:val="28"/>
          <w:szCs w:val="28"/>
          <w:highlight w:val="none"/>
          <w:lang w:val="en-US" w:eastAsia="zh-CN"/>
        </w:rPr>
        <w:t>较上年</w:t>
      </w:r>
      <w:r>
        <w:rPr>
          <w:rFonts w:hint="eastAsia" w:ascii="仿宋" w:hAnsi="微软雅黑" w:eastAsia="仿宋"/>
          <w:color w:val="auto"/>
          <w:sz w:val="28"/>
          <w:szCs w:val="28"/>
          <w:highlight w:val="none"/>
        </w:rPr>
        <w:t>增加；公务接待费减少0.20万元，下降40.00%，主要原因是</w:t>
      </w:r>
      <w:r>
        <w:rPr>
          <w:rFonts w:hint="eastAsia" w:ascii="仿宋" w:hAnsi="微软雅黑" w:eastAsia="仿宋"/>
          <w:color w:val="auto"/>
          <w:sz w:val="28"/>
          <w:szCs w:val="28"/>
          <w:highlight w:val="none"/>
          <w:lang w:val="en-US" w:eastAsia="zh-CN"/>
        </w:rPr>
        <w:t>结合</w:t>
      </w:r>
      <w:r>
        <w:rPr>
          <w:rFonts w:hint="eastAsia" w:ascii="仿宋" w:hAnsi="微软雅黑" w:eastAsia="仿宋"/>
          <w:color w:val="auto"/>
          <w:sz w:val="28"/>
          <w:szCs w:val="28"/>
          <w:highlight w:val="none"/>
        </w:rPr>
        <w:t>历年情况，</w:t>
      </w:r>
      <w:r>
        <w:rPr>
          <w:rFonts w:hint="eastAsia" w:ascii="仿宋" w:hAnsi="微软雅黑" w:eastAsia="仿宋"/>
          <w:color w:val="auto"/>
          <w:sz w:val="28"/>
          <w:szCs w:val="28"/>
          <w:highlight w:val="none"/>
          <w:lang w:val="en-US" w:eastAsia="zh-CN"/>
        </w:rPr>
        <w:t>本部门</w:t>
      </w:r>
      <w:r>
        <w:rPr>
          <w:rFonts w:hint="eastAsia" w:ascii="仿宋" w:hAnsi="微软雅黑" w:eastAsia="仿宋"/>
          <w:color w:val="auto"/>
          <w:sz w:val="28"/>
          <w:szCs w:val="28"/>
          <w:highlight w:val="none"/>
        </w:rPr>
        <w:t>未发生公务接待费用，所以公务接待费预算</w:t>
      </w:r>
      <w:r>
        <w:rPr>
          <w:rFonts w:hint="eastAsia" w:ascii="仿宋" w:hAnsi="微软雅黑" w:eastAsia="仿宋"/>
          <w:color w:val="auto"/>
          <w:sz w:val="28"/>
          <w:szCs w:val="28"/>
          <w:highlight w:val="none"/>
          <w:lang w:eastAsia="zh-CN"/>
        </w:rPr>
        <w:t>较上年下降</w:t>
      </w:r>
      <w:r>
        <w:rPr>
          <w:rFonts w:hint="eastAsia" w:ascii="仿宋" w:hAnsi="微软雅黑" w:eastAsia="仿宋"/>
          <w:color w:val="auto"/>
          <w:sz w:val="28"/>
          <w:szCs w:val="28"/>
          <w:highlight w:val="none"/>
        </w:rPr>
        <w:t>。</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关于额敏县医疗保障局</w:t>
      </w:r>
      <w:r>
        <w:rPr>
          <w:rFonts w:hint="eastAsia" w:ascii="仿宋" w:hAnsi="华文楷体" w:eastAsia="仿宋"/>
          <w:color w:val="auto"/>
          <w:sz w:val="28"/>
          <w:szCs w:val="28"/>
          <w:highlight w:val="none"/>
          <w:lang w:eastAsia="zh-CN"/>
        </w:rPr>
        <w:t>2026</w:t>
      </w:r>
      <w:r>
        <w:rPr>
          <w:rFonts w:hint="eastAsia" w:ascii="仿宋" w:hAnsi="华文楷体" w:eastAsia="仿宋"/>
          <w:color w:val="auto"/>
          <w:sz w:val="28"/>
          <w:szCs w:val="28"/>
          <w:highlight w:val="none"/>
        </w:rPr>
        <w:t>年上年结转结余预算情况说明</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额敏县医疗保障局</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年没有上年结转结余预算安排的支出，上年结转结余情况明细表为空表。</w:t>
      </w:r>
    </w:p>
    <w:p>
      <w:pPr>
        <w:pStyle w:val="3"/>
        <w:numPr>
          <w:ilvl w:val="0"/>
          <w:numId w:val="2"/>
        </w:numPr>
        <w:spacing w:before="0" w:after="0" w:line="560" w:lineRule="exact"/>
        <w:ind w:left="0" w:firstLine="562" w:firstLineChars="201"/>
        <w:rPr>
          <w:rFonts w:ascii="仿宋" w:hAnsi="华文楷体" w:eastAsia="仿宋"/>
          <w:color w:val="auto"/>
          <w:sz w:val="28"/>
          <w:szCs w:val="28"/>
          <w:highlight w:val="none"/>
        </w:rPr>
      </w:pPr>
      <w:r>
        <w:rPr>
          <w:rFonts w:hint="eastAsia" w:ascii="仿宋" w:hAnsi="华文楷体" w:eastAsia="仿宋"/>
          <w:color w:val="auto"/>
          <w:sz w:val="28"/>
          <w:szCs w:val="28"/>
          <w:highlight w:val="none"/>
        </w:rPr>
        <w:t>其他重要事项的情况说明</w:t>
      </w:r>
    </w:p>
    <w:p>
      <w:pPr>
        <w:pStyle w:val="4"/>
        <w:numPr>
          <w:ilvl w:val="0"/>
          <w:numId w:val="3"/>
        </w:numPr>
        <w:spacing w:before="0" w:after="0" w:line="560" w:lineRule="exact"/>
        <w:ind w:left="0" w:firstLine="562" w:firstLineChars="201"/>
        <w:rPr>
          <w:rFonts w:ascii="楷体" w:eastAsia="楷体"/>
          <w:color w:val="auto"/>
          <w:sz w:val="28"/>
          <w:szCs w:val="28"/>
          <w:highlight w:val="none"/>
        </w:rPr>
      </w:pPr>
      <w:r>
        <w:rPr>
          <w:rFonts w:hint="eastAsia" w:ascii="楷体" w:eastAsia="楷体"/>
          <w:color w:val="auto"/>
          <w:sz w:val="28"/>
          <w:szCs w:val="28"/>
          <w:highlight w:val="none"/>
        </w:rPr>
        <w:t>单位运行经费情况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额敏县医疗保障局</w:t>
      </w: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年的机关运行经费财政拨款预算41.41万元，比上年预算增加0.17万元，增长0.41%，主要原因是</w:t>
      </w:r>
      <w:r>
        <w:rPr>
          <w:rFonts w:hint="eastAsia" w:ascii="仿宋" w:hAnsi="微软雅黑" w:eastAsia="仿宋"/>
          <w:color w:val="auto"/>
          <w:sz w:val="28"/>
          <w:szCs w:val="28"/>
          <w:highlight w:val="none"/>
          <w:lang w:val="en-US" w:eastAsia="zh-CN"/>
        </w:rPr>
        <w:t>在职</w:t>
      </w:r>
      <w:r>
        <w:rPr>
          <w:rFonts w:hint="eastAsia" w:ascii="仿宋" w:hAnsi="微软雅黑" w:eastAsia="仿宋"/>
          <w:color w:val="auto"/>
          <w:sz w:val="28"/>
          <w:szCs w:val="28"/>
          <w:highlight w:val="none"/>
        </w:rPr>
        <w:t>人员工资</w:t>
      </w:r>
      <w:r>
        <w:rPr>
          <w:rFonts w:hint="eastAsia" w:ascii="仿宋" w:hAnsi="微软雅黑" w:eastAsia="仿宋"/>
          <w:color w:val="auto"/>
          <w:sz w:val="28"/>
          <w:szCs w:val="28"/>
          <w:highlight w:val="none"/>
          <w:lang w:val="en-US" w:eastAsia="zh-CN"/>
        </w:rPr>
        <w:t>调增，</w:t>
      </w:r>
      <w:r>
        <w:rPr>
          <w:rFonts w:hint="eastAsia" w:ascii="仿宋" w:hAnsi="微软雅黑" w:eastAsia="仿宋"/>
          <w:color w:val="auto"/>
          <w:sz w:val="28"/>
          <w:szCs w:val="28"/>
          <w:highlight w:val="none"/>
        </w:rPr>
        <w:t>本年工会经费和福利费增加，所以预算</w:t>
      </w:r>
      <w:r>
        <w:rPr>
          <w:rFonts w:hint="eastAsia" w:ascii="仿宋" w:hAnsi="微软雅黑" w:eastAsia="仿宋"/>
          <w:color w:val="auto"/>
          <w:sz w:val="28"/>
          <w:szCs w:val="28"/>
          <w:highlight w:val="none"/>
          <w:lang w:val="en-US" w:eastAsia="zh-CN"/>
        </w:rPr>
        <w:t>较</w:t>
      </w:r>
      <w:r>
        <w:rPr>
          <w:rFonts w:hint="eastAsia" w:ascii="仿宋" w:hAnsi="微软雅黑" w:eastAsia="仿宋"/>
          <w:color w:val="auto"/>
          <w:sz w:val="28"/>
          <w:szCs w:val="28"/>
          <w:highlight w:val="none"/>
        </w:rPr>
        <w:t>上年增</w:t>
      </w:r>
      <w:r>
        <w:rPr>
          <w:rFonts w:hint="eastAsia" w:ascii="仿宋" w:hAnsi="微软雅黑" w:eastAsia="仿宋"/>
          <w:color w:val="auto"/>
          <w:sz w:val="28"/>
          <w:szCs w:val="28"/>
          <w:highlight w:val="none"/>
          <w:lang w:val="en-US" w:eastAsia="zh-CN"/>
        </w:rPr>
        <w:t>加</w:t>
      </w:r>
      <w:r>
        <w:rPr>
          <w:rFonts w:hint="eastAsia" w:ascii="仿宋" w:hAnsi="微软雅黑" w:eastAsia="仿宋"/>
          <w:color w:val="auto"/>
          <w:sz w:val="28"/>
          <w:szCs w:val="28"/>
          <w:highlight w:val="none"/>
        </w:rPr>
        <w:t>。</w:t>
      </w:r>
    </w:p>
    <w:p>
      <w:pPr>
        <w:pStyle w:val="4"/>
        <w:numPr>
          <w:ilvl w:val="0"/>
          <w:numId w:val="3"/>
        </w:numPr>
        <w:spacing w:before="0" w:after="0" w:line="560" w:lineRule="exact"/>
        <w:ind w:left="0" w:firstLine="562" w:firstLineChars="201"/>
        <w:rPr>
          <w:rFonts w:ascii="楷体" w:eastAsia="楷体"/>
          <w:color w:val="auto"/>
          <w:sz w:val="28"/>
          <w:szCs w:val="28"/>
          <w:highlight w:val="none"/>
        </w:rPr>
      </w:pPr>
      <w:r>
        <w:rPr>
          <w:rFonts w:hint="eastAsia" w:ascii="楷体" w:eastAsia="楷体"/>
          <w:color w:val="auto"/>
          <w:sz w:val="28"/>
          <w:szCs w:val="28"/>
          <w:highlight w:val="none"/>
        </w:rPr>
        <w:t>政府采购情况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年，额敏县医疗保障局政府采购预算33.46万元，其中：政府采购货物预算23.75万元，政府采购工程预算6.20万元，政府采购服务预算3.51万元。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年，额敏县医疗保障局面向中小企业预留政府采购项目预算金额33.46万元，小微企业预留政府采购项目预算金额33.46万元。</w:t>
      </w:r>
    </w:p>
    <w:p>
      <w:pPr>
        <w:pStyle w:val="4"/>
        <w:numPr>
          <w:ilvl w:val="0"/>
          <w:numId w:val="3"/>
        </w:numPr>
        <w:spacing w:before="0" w:after="0" w:line="560" w:lineRule="exact"/>
        <w:ind w:left="0" w:firstLine="562" w:firstLineChars="201"/>
        <w:rPr>
          <w:rFonts w:ascii="楷体" w:eastAsia="楷体"/>
          <w:color w:val="auto"/>
          <w:sz w:val="28"/>
          <w:szCs w:val="28"/>
          <w:highlight w:val="none"/>
        </w:rPr>
      </w:pPr>
      <w:r>
        <w:rPr>
          <w:rFonts w:ascii="楷体" w:eastAsia="楷体"/>
          <w:color w:val="auto"/>
          <w:sz w:val="28"/>
          <w:szCs w:val="28"/>
          <w:highlight w:val="none"/>
        </w:rPr>
        <w:t>国有资产占用使用情况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截至</w:t>
      </w:r>
      <w:r>
        <w:rPr>
          <w:rFonts w:hint="eastAsia" w:ascii="仿宋" w:hAnsi="微软雅黑" w:eastAsia="仿宋"/>
          <w:color w:val="auto"/>
          <w:sz w:val="28"/>
          <w:szCs w:val="28"/>
          <w:highlight w:val="none"/>
          <w:lang w:eastAsia="zh-CN"/>
        </w:rPr>
        <w:t>2025</w:t>
      </w:r>
      <w:r>
        <w:rPr>
          <w:rFonts w:hint="eastAsia" w:ascii="仿宋" w:hAnsi="微软雅黑" w:eastAsia="仿宋"/>
          <w:color w:val="auto"/>
          <w:sz w:val="28"/>
          <w:szCs w:val="28"/>
          <w:highlight w:val="none"/>
        </w:rPr>
        <w:t>年底，额敏县医疗保障局占用使用国有资产总体情况为：</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1.房屋0.00平方米，价值0.00万元。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2.车辆1辆，价值16.98万元；其中：一般公务用车1辆，价值16.98万元；执法执勤用车0辆，价值0.00万元；其他车辆0辆，价值0.00万元。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3.办公家具价值24.02万元。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4.其他资产价值52.56万元。</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rPr>
        <w:t>部门价值50万元以上大型设备0台，部门价值100万元以上大型设备0台。</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ascii="楷体" w:eastAsia="楷体"/>
          <w:color w:val="auto"/>
          <w:sz w:val="28"/>
          <w:szCs w:val="28"/>
          <w:highlight w:val="none"/>
        </w:rPr>
      </w:pPr>
      <w:r>
        <w:rPr>
          <w:rFonts w:ascii="楷体" w:eastAsia="楷体"/>
          <w:color w:val="auto"/>
          <w:sz w:val="28"/>
          <w:szCs w:val="28"/>
          <w:highlight w:val="none"/>
        </w:rPr>
        <w:t>预算绩效情况</w:t>
      </w:r>
    </w:p>
    <w:p>
      <w:pPr>
        <w:widowControl/>
        <w:spacing w:line="560" w:lineRule="exact"/>
        <w:ind w:firstLine="560" w:firstLineChars="200"/>
        <w:rPr>
          <w:rFonts w:ascii="仿宋" w:hAnsi="微软雅黑" w:eastAsia="仿宋"/>
          <w:color w:val="auto"/>
          <w:sz w:val="28"/>
          <w:szCs w:val="28"/>
          <w:highlight w:val="none"/>
        </w:rPr>
      </w:pPr>
      <w:r>
        <w:rPr>
          <w:rFonts w:hint="eastAsia" w:ascii="仿宋" w:hAnsi="微软雅黑" w:eastAsia="仿宋"/>
          <w:color w:val="auto"/>
          <w:sz w:val="28"/>
          <w:szCs w:val="28"/>
          <w:highlight w:val="none"/>
          <w:lang w:eastAsia="zh-CN"/>
        </w:rPr>
        <w:t>2026</w:t>
      </w:r>
      <w:r>
        <w:rPr>
          <w:rFonts w:hint="eastAsia" w:ascii="仿宋" w:hAnsi="微软雅黑" w:eastAsia="仿宋"/>
          <w:color w:val="auto"/>
          <w:sz w:val="28"/>
          <w:szCs w:val="28"/>
          <w:highlight w:val="none"/>
        </w:rPr>
        <w:t>年，本部门预算绩效管理整体预算绩效目标1个，涉及预算金额570.40万元；当年预算安排项目共3个，其中：财政拨款项目涉及预算金额45.00万元；非财政拨款项目涉及预算金额14.00万元。具体情况见下表：</w:t>
      </w: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部门整体绩效目标表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部门名称（盖章）</w:t>
            </w:r>
          </w:p>
        </w:tc>
        <w:tc>
          <w:tcPr>
            <w:tcW w:w="6578" w:type="dxa"/>
            <w:gridSpan w:val="5"/>
            <w:shd w:val="clear" w:color="auto" w:fill="auto"/>
            <w:vAlign w:val="center"/>
          </w:tcPr>
          <w:p>
            <w:pPr>
              <w:jc w:val="center"/>
              <w:rPr>
                <w:color w:val="auto"/>
                <w:sz w:val="18"/>
                <w:szCs w:val="18"/>
                <w:highlight w:val="none"/>
              </w:rPr>
            </w:pPr>
            <w:r>
              <w:rPr>
                <w:rFonts w:hint="eastAsia"/>
                <w:color w:val="auto"/>
                <w:sz w:val="18"/>
                <w:szCs w:val="18"/>
                <w:highlight w:val="none"/>
              </w:rPr>
              <w:t>额敏县医疗保障局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部门联系人</w:t>
            </w:r>
          </w:p>
        </w:tc>
        <w:tc>
          <w:tcPr>
            <w:tcW w:w="2498" w:type="dxa"/>
            <w:gridSpan w:val="2"/>
            <w:shd w:val="clear" w:color="auto" w:fill="auto"/>
            <w:vAlign w:val="center"/>
          </w:tcPr>
          <w:p>
            <w:pPr>
              <w:jc w:val="center"/>
              <w:rPr>
                <w:b/>
                <w:color w:val="auto"/>
                <w:sz w:val="18"/>
                <w:szCs w:val="18"/>
                <w:highlight w:val="none"/>
              </w:rPr>
            </w:pPr>
            <w:r>
              <w:rPr>
                <w:rFonts w:hint="eastAsia"/>
                <w:color w:val="auto"/>
                <w:sz w:val="18"/>
                <w:szCs w:val="18"/>
                <w:highlight w:val="none"/>
              </w:rPr>
              <w:t>邹为青</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联系电话</w:t>
            </w:r>
          </w:p>
        </w:tc>
        <w:tc>
          <w:tcPr>
            <w:tcW w:w="272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18999749567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年度绩效目标</w:t>
            </w:r>
          </w:p>
        </w:tc>
        <w:tc>
          <w:tcPr>
            <w:tcW w:w="6578" w:type="dxa"/>
            <w:gridSpan w:val="5"/>
            <w:shd w:val="clear" w:color="auto" w:fill="auto"/>
            <w:vAlign w:val="center"/>
          </w:tcPr>
          <w:p>
            <w:pPr>
              <w:rPr>
                <w:b/>
                <w:color w:val="auto"/>
                <w:sz w:val="18"/>
                <w:szCs w:val="18"/>
                <w:highlight w:val="none"/>
              </w:rPr>
            </w:pPr>
            <w:r>
              <w:rPr>
                <w:rFonts w:hint="eastAsia"/>
                <w:color w:val="auto"/>
                <w:sz w:val="18"/>
                <w:szCs w:val="18"/>
                <w:highlight w:val="none"/>
              </w:rPr>
              <w:t>按照地区医疗保障工作会精神以及县委“实干争先年暨作风建设攻坚年”有关要求</w:t>
            </w:r>
            <w:r>
              <w:rPr>
                <w:rFonts w:hint="eastAsia"/>
                <w:color w:val="auto"/>
                <w:sz w:val="18"/>
                <w:szCs w:val="18"/>
                <w:highlight w:val="none"/>
                <w:lang w:eastAsia="zh-CN"/>
              </w:rPr>
              <w:t>：</w:t>
            </w:r>
            <w:r>
              <w:rPr>
                <w:rFonts w:hint="eastAsia"/>
                <w:color w:val="auto"/>
                <w:sz w:val="18"/>
                <w:szCs w:val="18"/>
                <w:highlight w:val="none"/>
              </w:rPr>
              <w:t>1、扎实做好</w:t>
            </w:r>
            <w:r>
              <w:rPr>
                <w:rFonts w:hint="eastAsia"/>
                <w:color w:val="auto"/>
                <w:sz w:val="18"/>
                <w:szCs w:val="18"/>
                <w:highlight w:val="none"/>
                <w:lang w:eastAsia="zh-CN"/>
              </w:rPr>
              <w:t>2026</w:t>
            </w:r>
            <w:r>
              <w:rPr>
                <w:rFonts w:hint="eastAsia"/>
                <w:color w:val="auto"/>
                <w:sz w:val="18"/>
                <w:szCs w:val="18"/>
                <w:highlight w:val="none"/>
              </w:rPr>
              <w:t>年十大民生实事之一的经办服务体系建设，全年计划完成乡（镇）场卫生院、村级（社区）卫生室医保经办基层云服务点位124个；2、确保定点医药机构严格执行医保政策，遵守相关法律法规和医保服务协议，为参保人员提供更加优质、便捷的医疗服务。年内计划对全县医药机构集中培训不少于4期；3、实现每个乡镇（场）参保率稳定在98%以上；4、做好专项检查，上半年完成全县37家定点医疗机构，89家定点零售药店现场100%覆盖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color w:val="auto"/>
                <w:sz w:val="18"/>
                <w:szCs w:val="18"/>
                <w:highlight w:val="none"/>
              </w:rPr>
            </w:pPr>
            <w:r>
              <w:rPr>
                <w:rFonts w:hint="eastAsia"/>
                <w:b/>
                <w:color w:val="auto"/>
                <w:sz w:val="18"/>
                <w:szCs w:val="18"/>
                <w:highlight w:val="none"/>
              </w:rPr>
              <w:t>年度预算(万元)</w:t>
            </w:r>
          </w:p>
        </w:tc>
        <w:tc>
          <w:tcPr>
            <w:tcW w:w="3858" w:type="dxa"/>
            <w:gridSpan w:val="3"/>
            <w:shd w:val="clear" w:color="auto" w:fill="auto"/>
            <w:vAlign w:val="center"/>
          </w:tcPr>
          <w:p>
            <w:pPr>
              <w:jc w:val="center"/>
              <w:rPr>
                <w:color w:val="auto"/>
                <w:sz w:val="18"/>
                <w:szCs w:val="18"/>
                <w:highlight w:val="none"/>
              </w:rPr>
            </w:pPr>
            <w:r>
              <w:rPr>
                <w:rFonts w:hint="eastAsia"/>
                <w:color w:val="auto"/>
                <w:sz w:val="18"/>
                <w:szCs w:val="18"/>
                <w:highlight w:val="none"/>
              </w:rPr>
              <w:t>资金来源</w:t>
            </w:r>
          </w:p>
        </w:tc>
        <w:tc>
          <w:tcPr>
            <w:tcW w:w="272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color w:val="auto"/>
                <w:sz w:val="18"/>
                <w:szCs w:val="18"/>
                <w:highlight w:val="none"/>
              </w:rPr>
            </w:pPr>
          </w:p>
        </w:tc>
        <w:tc>
          <w:tcPr>
            <w:tcW w:w="2410" w:type="dxa"/>
            <w:vMerge w:val="restart"/>
            <w:shd w:val="clear" w:color="auto" w:fill="auto"/>
            <w:vAlign w:val="center"/>
          </w:tcPr>
          <w:p>
            <w:pPr>
              <w:jc w:val="center"/>
              <w:rPr>
                <w:rFonts w:hint="eastAsia"/>
                <w:color w:val="auto"/>
                <w:sz w:val="18"/>
                <w:szCs w:val="18"/>
                <w:highlight w:val="none"/>
              </w:rPr>
            </w:pPr>
            <w:r>
              <w:rPr>
                <w:rFonts w:hint="eastAsia"/>
                <w:color w:val="auto"/>
                <w:sz w:val="18"/>
                <w:szCs w:val="18"/>
                <w:highlight w:val="none"/>
              </w:rPr>
              <w:t>财政资金（万元）</w:t>
            </w:r>
          </w:p>
        </w:tc>
        <w:tc>
          <w:tcPr>
            <w:tcW w:w="1448" w:type="dxa"/>
            <w:gridSpan w:val="2"/>
            <w:shd w:val="clear" w:color="auto" w:fill="auto"/>
            <w:vAlign w:val="center"/>
          </w:tcPr>
          <w:p>
            <w:pPr>
              <w:jc w:val="center"/>
              <w:rPr>
                <w:rFonts w:hint="eastAsia"/>
                <w:color w:val="auto"/>
                <w:sz w:val="18"/>
                <w:szCs w:val="18"/>
                <w:highlight w:val="none"/>
              </w:rPr>
            </w:pPr>
            <w:r>
              <w:rPr>
                <w:rFonts w:hint="eastAsia"/>
                <w:color w:val="auto"/>
                <w:sz w:val="18"/>
                <w:szCs w:val="18"/>
                <w:highlight w:val="none"/>
              </w:rPr>
              <w:t>上级安排</w:t>
            </w:r>
          </w:p>
        </w:tc>
        <w:tc>
          <w:tcPr>
            <w:tcW w:w="272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color w:val="auto"/>
                <w:sz w:val="18"/>
                <w:szCs w:val="18"/>
                <w:highlight w:val="none"/>
              </w:rPr>
            </w:pPr>
          </w:p>
        </w:tc>
        <w:tc>
          <w:tcPr>
            <w:tcW w:w="2410" w:type="dxa"/>
            <w:vMerge w:val="continue"/>
            <w:shd w:val="clear" w:color="auto" w:fill="auto"/>
            <w:vAlign w:val="center"/>
          </w:tcPr>
          <w:p>
            <w:pPr>
              <w:jc w:val="center"/>
              <w:rPr>
                <w:rFonts w:hint="eastAsia"/>
                <w:color w:val="auto"/>
                <w:sz w:val="18"/>
                <w:szCs w:val="18"/>
                <w:highlight w:val="none"/>
              </w:rPr>
            </w:pPr>
          </w:p>
        </w:tc>
        <w:tc>
          <w:tcPr>
            <w:tcW w:w="1448" w:type="dxa"/>
            <w:gridSpan w:val="2"/>
            <w:shd w:val="clear" w:color="auto" w:fill="auto"/>
            <w:vAlign w:val="center"/>
          </w:tcPr>
          <w:p>
            <w:pPr>
              <w:jc w:val="center"/>
              <w:rPr>
                <w:rFonts w:hint="eastAsia"/>
                <w:color w:val="auto"/>
                <w:sz w:val="18"/>
                <w:szCs w:val="18"/>
                <w:highlight w:val="none"/>
              </w:rPr>
            </w:pPr>
            <w:r>
              <w:rPr>
                <w:rFonts w:hint="eastAsia"/>
                <w:color w:val="auto"/>
                <w:sz w:val="18"/>
                <w:szCs w:val="18"/>
                <w:highlight w:val="none"/>
              </w:rPr>
              <w:t>本级安排</w:t>
            </w:r>
          </w:p>
        </w:tc>
        <w:tc>
          <w:tcPr>
            <w:tcW w:w="272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551.40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color w:val="auto"/>
                <w:sz w:val="18"/>
                <w:szCs w:val="18"/>
                <w:highlight w:val="none"/>
              </w:rPr>
            </w:pPr>
          </w:p>
        </w:tc>
        <w:tc>
          <w:tcPr>
            <w:tcW w:w="241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其他资金（万元）</w:t>
            </w:r>
          </w:p>
        </w:tc>
        <w:tc>
          <w:tcPr>
            <w:tcW w:w="1448" w:type="dxa"/>
            <w:gridSpan w:val="2"/>
            <w:shd w:val="clear" w:color="auto" w:fill="auto"/>
            <w:vAlign w:val="center"/>
          </w:tcPr>
          <w:p>
            <w:pPr>
              <w:jc w:val="center"/>
              <w:rPr>
                <w:rFonts w:hint="eastAsia"/>
                <w:color w:val="auto"/>
                <w:sz w:val="18"/>
                <w:szCs w:val="18"/>
                <w:highlight w:val="none"/>
              </w:rPr>
            </w:pPr>
            <w:r>
              <w:rPr>
                <w:rFonts w:hint="eastAsia"/>
                <w:color w:val="auto"/>
                <w:sz w:val="18"/>
                <w:szCs w:val="18"/>
                <w:highlight w:val="none"/>
              </w:rPr>
              <w:t>其他</w:t>
            </w:r>
          </w:p>
        </w:tc>
        <w:tc>
          <w:tcPr>
            <w:tcW w:w="272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1559"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410" w:type="dxa"/>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1448"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指标设定依据</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履职效能</w:t>
            </w:r>
          </w:p>
        </w:tc>
        <w:tc>
          <w:tcPr>
            <w:tcW w:w="1559"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数量指标</w:t>
            </w:r>
          </w:p>
        </w:tc>
        <w:tc>
          <w:tcPr>
            <w:tcW w:w="2410" w:type="dxa"/>
            <w:shd w:val="clear" w:color="auto" w:fill="auto"/>
            <w:vAlign w:val="center"/>
          </w:tcPr>
          <w:p>
            <w:pPr>
              <w:jc w:val="center"/>
              <w:rPr>
                <w:color w:val="auto"/>
                <w:sz w:val="18"/>
                <w:szCs w:val="18"/>
                <w:highlight w:val="none"/>
              </w:rPr>
            </w:pPr>
            <w:r>
              <w:rPr>
                <w:rFonts w:hint="eastAsia"/>
                <w:color w:val="auto"/>
                <w:sz w:val="18"/>
                <w:szCs w:val="18"/>
                <w:highlight w:val="none"/>
              </w:rPr>
              <w:t>建设基层云服务点位个数</w:t>
            </w:r>
          </w:p>
        </w:tc>
        <w:tc>
          <w:tcPr>
            <w:tcW w:w="144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＞=124个</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lang w:eastAsia="zh-CN"/>
              </w:rPr>
              <w:t>2026</w:t>
            </w:r>
            <w:r>
              <w:rPr>
                <w:rFonts w:hint="eastAsia"/>
                <w:color w:val="auto"/>
                <w:sz w:val="18"/>
                <w:szCs w:val="18"/>
                <w:highlight w:val="none"/>
              </w:rPr>
              <w:t>年度工作要点</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color w:val="auto"/>
                <w:sz w:val="18"/>
                <w:szCs w:val="18"/>
                <w:highlight w:val="none"/>
              </w:rPr>
            </w:pPr>
          </w:p>
        </w:tc>
        <w:tc>
          <w:tcPr>
            <w:tcW w:w="1559"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数量指标</w:t>
            </w:r>
          </w:p>
        </w:tc>
        <w:tc>
          <w:tcPr>
            <w:tcW w:w="2410" w:type="dxa"/>
            <w:shd w:val="clear" w:color="auto" w:fill="auto"/>
            <w:vAlign w:val="center"/>
          </w:tcPr>
          <w:p>
            <w:pPr>
              <w:jc w:val="center"/>
              <w:rPr>
                <w:color w:val="auto"/>
                <w:sz w:val="18"/>
                <w:szCs w:val="18"/>
                <w:highlight w:val="none"/>
              </w:rPr>
            </w:pPr>
            <w:r>
              <w:rPr>
                <w:rFonts w:hint="eastAsia"/>
                <w:color w:val="auto"/>
                <w:sz w:val="18"/>
                <w:szCs w:val="18"/>
                <w:highlight w:val="none"/>
              </w:rPr>
              <w:t>全县医药机构集中培训次数</w:t>
            </w:r>
          </w:p>
        </w:tc>
        <w:tc>
          <w:tcPr>
            <w:tcW w:w="144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＞=4次</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lang w:eastAsia="zh-CN"/>
              </w:rPr>
              <w:t>2026</w:t>
            </w:r>
            <w:r>
              <w:rPr>
                <w:rFonts w:hint="eastAsia"/>
                <w:color w:val="auto"/>
                <w:sz w:val="18"/>
                <w:szCs w:val="18"/>
                <w:highlight w:val="none"/>
              </w:rPr>
              <w:t>年度工作要点</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color w:val="auto"/>
                <w:sz w:val="18"/>
                <w:szCs w:val="18"/>
                <w:highlight w:val="none"/>
              </w:rPr>
            </w:pPr>
          </w:p>
        </w:tc>
        <w:tc>
          <w:tcPr>
            <w:tcW w:w="1559" w:type="dxa"/>
            <w:vMerge w:val="restart"/>
            <w:shd w:val="clear" w:color="auto" w:fill="auto"/>
            <w:vAlign w:val="center"/>
          </w:tcPr>
          <w:p>
            <w:pPr>
              <w:jc w:val="center"/>
              <w:rPr>
                <w:color w:val="auto"/>
                <w:sz w:val="18"/>
                <w:szCs w:val="18"/>
                <w:highlight w:val="none"/>
              </w:rPr>
            </w:pPr>
            <w:r>
              <w:rPr>
                <w:rFonts w:hint="eastAsia"/>
                <w:color w:val="auto"/>
                <w:sz w:val="18"/>
                <w:szCs w:val="18"/>
                <w:highlight w:val="none"/>
              </w:rPr>
              <w:t>质量指标</w:t>
            </w:r>
          </w:p>
        </w:tc>
        <w:tc>
          <w:tcPr>
            <w:tcW w:w="2410" w:type="dxa"/>
            <w:shd w:val="clear" w:color="auto" w:fill="auto"/>
            <w:vAlign w:val="center"/>
          </w:tcPr>
          <w:p>
            <w:pPr>
              <w:jc w:val="center"/>
              <w:rPr>
                <w:color w:val="auto"/>
                <w:sz w:val="18"/>
                <w:szCs w:val="18"/>
                <w:highlight w:val="none"/>
              </w:rPr>
            </w:pPr>
            <w:r>
              <w:rPr>
                <w:rFonts w:hint="eastAsia"/>
                <w:color w:val="auto"/>
                <w:sz w:val="18"/>
                <w:szCs w:val="18"/>
                <w:highlight w:val="none"/>
              </w:rPr>
              <w:t>城乡居民医疗保险参保率</w:t>
            </w:r>
          </w:p>
        </w:tc>
        <w:tc>
          <w:tcPr>
            <w:tcW w:w="144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＞=98%</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lang w:eastAsia="zh-CN"/>
              </w:rPr>
              <w:t>2026</w:t>
            </w:r>
            <w:r>
              <w:rPr>
                <w:rFonts w:hint="eastAsia"/>
                <w:color w:val="auto"/>
                <w:sz w:val="18"/>
                <w:szCs w:val="18"/>
                <w:highlight w:val="none"/>
              </w:rPr>
              <w:t>年度工作要点</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color w:val="auto"/>
                <w:sz w:val="18"/>
                <w:szCs w:val="18"/>
                <w:highlight w:val="none"/>
              </w:rPr>
            </w:pPr>
          </w:p>
        </w:tc>
        <w:tc>
          <w:tcPr>
            <w:tcW w:w="1559" w:type="dxa"/>
            <w:shd w:val="clear" w:color="auto" w:fill="auto"/>
            <w:vAlign w:val="center"/>
          </w:tcPr>
          <w:p>
            <w:pPr>
              <w:jc w:val="center"/>
              <w:rPr>
                <w:color w:val="auto"/>
                <w:sz w:val="18"/>
                <w:szCs w:val="18"/>
                <w:highlight w:val="none"/>
              </w:rPr>
            </w:pPr>
            <w:r>
              <w:rPr>
                <w:rFonts w:hint="eastAsia"/>
                <w:color w:val="auto"/>
                <w:sz w:val="18"/>
                <w:szCs w:val="18"/>
                <w:highlight w:val="none"/>
              </w:rPr>
              <w:t>质量指标</w:t>
            </w:r>
          </w:p>
        </w:tc>
        <w:tc>
          <w:tcPr>
            <w:tcW w:w="2410" w:type="dxa"/>
            <w:shd w:val="clear" w:color="auto" w:fill="auto"/>
            <w:vAlign w:val="center"/>
          </w:tcPr>
          <w:p>
            <w:pPr>
              <w:jc w:val="center"/>
              <w:rPr>
                <w:color w:val="auto"/>
                <w:sz w:val="18"/>
                <w:szCs w:val="18"/>
                <w:highlight w:val="none"/>
              </w:rPr>
            </w:pPr>
            <w:r>
              <w:rPr>
                <w:rFonts w:hint="eastAsia"/>
                <w:color w:val="auto"/>
                <w:sz w:val="18"/>
                <w:szCs w:val="18"/>
                <w:highlight w:val="none"/>
              </w:rPr>
              <w:t>定点医药机构检查覆盖率</w:t>
            </w:r>
          </w:p>
        </w:tc>
        <w:tc>
          <w:tcPr>
            <w:tcW w:w="1448"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lang w:eastAsia="zh-CN"/>
              </w:rPr>
              <w:t>2026</w:t>
            </w:r>
            <w:r>
              <w:rPr>
                <w:rFonts w:hint="eastAsia"/>
                <w:color w:val="auto"/>
                <w:sz w:val="18"/>
                <w:szCs w:val="18"/>
                <w:highlight w:val="none"/>
              </w:rPr>
              <w:t>年度工作要点</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20</w:t>
            </w:r>
          </w:p>
        </w:tc>
      </w:tr>
    </w:tbl>
    <w:p>
      <w:pPr>
        <w:rPr>
          <w:color w:val="auto"/>
          <w:highlight w:val="none"/>
        </w:rPr>
      </w:pP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项目支出绩效目标表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预算单位</w:t>
            </w:r>
          </w:p>
        </w:tc>
        <w:tc>
          <w:tcPr>
            <w:tcW w:w="8160" w:type="dxa"/>
            <w:gridSpan w:val="8"/>
            <w:shd w:val="clear" w:color="auto" w:fill="auto"/>
            <w:vAlign w:val="center"/>
          </w:tcPr>
          <w:p>
            <w:pPr>
              <w:jc w:val="center"/>
              <w:rPr>
                <w:color w:val="auto"/>
                <w:sz w:val="18"/>
                <w:szCs w:val="18"/>
                <w:highlight w:val="none"/>
              </w:rPr>
            </w:pPr>
            <w:r>
              <w:rPr>
                <w:rFonts w:hint="eastAsia"/>
                <w:color w:val="auto"/>
                <w:sz w:val="18"/>
                <w:szCs w:val="18"/>
                <w:highlight w:val="none"/>
              </w:rPr>
              <w:t>额敏县医疗保障局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color w:val="auto"/>
                <w:sz w:val="18"/>
                <w:szCs w:val="18"/>
                <w:highlight w:val="none"/>
              </w:rPr>
            </w:pPr>
            <w:r>
              <w:rPr>
                <w:rFonts w:hint="eastAsia"/>
                <w:b/>
                <w:color w:val="auto"/>
                <w:sz w:val="18"/>
                <w:szCs w:val="18"/>
                <w:highlight w:val="none"/>
              </w:rPr>
              <w:t>项目名称</w:t>
            </w:r>
          </w:p>
        </w:tc>
        <w:tc>
          <w:tcPr>
            <w:tcW w:w="5440" w:type="dxa"/>
            <w:gridSpan w:val="6"/>
            <w:shd w:val="clear" w:color="auto" w:fill="auto"/>
            <w:vAlign w:val="center"/>
          </w:tcPr>
          <w:p>
            <w:pPr>
              <w:jc w:val="center"/>
              <w:rPr>
                <w:rFonts w:hint="eastAsia"/>
                <w:b/>
                <w:color w:val="auto"/>
                <w:sz w:val="18"/>
                <w:szCs w:val="18"/>
                <w:highlight w:val="none"/>
              </w:rPr>
            </w:pPr>
            <w:r>
              <w:rPr>
                <w:rFonts w:hint="eastAsia"/>
                <w:color w:val="auto"/>
                <w:sz w:val="18"/>
                <w:szCs w:val="18"/>
                <w:highlight w:val="none"/>
                <w:lang w:eastAsia="zh-CN"/>
              </w:rPr>
              <w:t>2026</w:t>
            </w:r>
            <w:r>
              <w:rPr>
                <w:rFonts w:hint="eastAsia"/>
                <w:color w:val="auto"/>
                <w:sz w:val="18"/>
                <w:szCs w:val="18"/>
                <w:highlight w:val="none"/>
              </w:rPr>
              <w:t>单位自有资金项目</w:t>
            </w:r>
          </w:p>
        </w:tc>
        <w:tc>
          <w:tcPr>
            <w:tcW w:w="1360" w:type="dxa"/>
            <w:shd w:val="clear" w:color="auto" w:fill="auto"/>
            <w:vAlign w:val="center"/>
          </w:tcPr>
          <w:p>
            <w:pPr>
              <w:jc w:val="center"/>
              <w:rPr>
                <w:rFonts w:hint="eastAsia"/>
                <w:color w:val="auto"/>
                <w:sz w:val="18"/>
                <w:szCs w:val="18"/>
                <w:highlight w:val="none"/>
              </w:rPr>
            </w:pPr>
            <w:r>
              <w:rPr>
                <w:rFonts w:hint="eastAsia"/>
                <w:b/>
                <w:color w:val="auto"/>
                <w:sz w:val="18"/>
                <w:szCs w:val="18"/>
                <w:highlight w:val="none"/>
              </w:rPr>
              <w:t>项目负责人</w:t>
            </w:r>
          </w:p>
        </w:tc>
        <w:tc>
          <w:tcPr>
            <w:tcW w:w="136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王晓莉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项目资金(万元)</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年度预算总额</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14.00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其中：财政拨款</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0.00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其他资金</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项目总体目标</w:t>
            </w:r>
          </w:p>
        </w:tc>
        <w:tc>
          <w:tcPr>
            <w:tcW w:w="8160" w:type="dxa"/>
            <w:gridSpan w:val="8"/>
            <w:shd w:val="clear" w:color="auto" w:fill="auto"/>
            <w:vAlign w:val="center"/>
          </w:tcPr>
          <w:p>
            <w:pPr>
              <w:rPr>
                <w:b/>
                <w:color w:val="auto"/>
                <w:sz w:val="18"/>
                <w:szCs w:val="18"/>
                <w:highlight w:val="none"/>
              </w:rPr>
            </w:pPr>
            <w:r>
              <w:rPr>
                <w:rFonts w:hint="eastAsia"/>
                <w:color w:val="auto"/>
                <w:sz w:val="18"/>
                <w:szCs w:val="18"/>
                <w:highlight w:val="none"/>
              </w:rPr>
              <w:t>通过自有资金项目，改善和提升公共的质量和效率，满足单位需求，合理利用自有资金，优化资源配置，确保资金使用效益最大化。提高单位的自有资金管理和运行能力，确保项目顺利实施并取得预期效果。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04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指标值设置依据</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上年完成值</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指标分值权重</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指标赋分规则</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产出指标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数量指标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单位人数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=28人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质量指标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自有资金拨付率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时效指标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资金支付及时率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成本指标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经济成本指标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支付资金成本</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＜=14万元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资金预算控制率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效益指标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社会效益指标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保障各项工作顺利开展</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有所保障</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提升工作积极性</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有所提高</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单位职工满意度</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满意度赋分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说明材料</w:t>
            </w:r>
          </w:p>
        </w:tc>
      </w:tr>
    </w:tbl>
    <w:p>
      <w:pPr>
        <w:rPr>
          <w:color w:val="auto"/>
          <w:highlight w:val="none"/>
        </w:rPr>
      </w:pP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项目支出绩效目标表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预算单位</w:t>
            </w:r>
          </w:p>
        </w:tc>
        <w:tc>
          <w:tcPr>
            <w:tcW w:w="8160" w:type="dxa"/>
            <w:gridSpan w:val="8"/>
            <w:shd w:val="clear" w:color="auto" w:fill="auto"/>
            <w:vAlign w:val="center"/>
          </w:tcPr>
          <w:p>
            <w:pPr>
              <w:jc w:val="center"/>
              <w:rPr>
                <w:color w:val="auto"/>
                <w:sz w:val="18"/>
                <w:szCs w:val="18"/>
                <w:highlight w:val="none"/>
              </w:rPr>
            </w:pPr>
            <w:r>
              <w:rPr>
                <w:rFonts w:hint="eastAsia"/>
                <w:color w:val="auto"/>
                <w:sz w:val="18"/>
                <w:szCs w:val="18"/>
                <w:highlight w:val="none"/>
              </w:rPr>
              <w:t>额敏县医疗保障局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color w:val="auto"/>
                <w:sz w:val="18"/>
                <w:szCs w:val="18"/>
                <w:highlight w:val="none"/>
              </w:rPr>
            </w:pPr>
            <w:r>
              <w:rPr>
                <w:rFonts w:hint="eastAsia"/>
                <w:b/>
                <w:color w:val="auto"/>
                <w:sz w:val="18"/>
                <w:szCs w:val="18"/>
                <w:highlight w:val="none"/>
              </w:rPr>
              <w:t>项目名称</w:t>
            </w:r>
          </w:p>
        </w:tc>
        <w:tc>
          <w:tcPr>
            <w:tcW w:w="5440" w:type="dxa"/>
            <w:gridSpan w:val="6"/>
            <w:shd w:val="clear" w:color="auto" w:fill="auto"/>
            <w:vAlign w:val="center"/>
          </w:tcPr>
          <w:p>
            <w:pPr>
              <w:jc w:val="center"/>
              <w:rPr>
                <w:rFonts w:hint="eastAsia"/>
                <w:b/>
                <w:color w:val="auto"/>
                <w:sz w:val="18"/>
                <w:szCs w:val="18"/>
                <w:highlight w:val="none"/>
              </w:rPr>
            </w:pPr>
            <w:r>
              <w:rPr>
                <w:rFonts w:hint="eastAsia"/>
                <w:color w:val="auto"/>
                <w:sz w:val="18"/>
                <w:szCs w:val="18"/>
                <w:highlight w:val="none"/>
              </w:rPr>
              <w:t>离休干部及二等乙级以上革命伤残军人医疗费补助项目</w:t>
            </w:r>
          </w:p>
        </w:tc>
        <w:tc>
          <w:tcPr>
            <w:tcW w:w="1360" w:type="dxa"/>
            <w:shd w:val="clear" w:color="auto" w:fill="auto"/>
            <w:vAlign w:val="center"/>
          </w:tcPr>
          <w:p>
            <w:pPr>
              <w:jc w:val="center"/>
              <w:rPr>
                <w:rFonts w:hint="eastAsia"/>
                <w:color w:val="auto"/>
                <w:sz w:val="18"/>
                <w:szCs w:val="18"/>
                <w:highlight w:val="none"/>
              </w:rPr>
            </w:pPr>
            <w:r>
              <w:rPr>
                <w:rFonts w:hint="eastAsia"/>
                <w:b/>
                <w:color w:val="auto"/>
                <w:sz w:val="18"/>
                <w:szCs w:val="18"/>
                <w:highlight w:val="none"/>
              </w:rPr>
              <w:t>项目负责人</w:t>
            </w:r>
          </w:p>
        </w:tc>
        <w:tc>
          <w:tcPr>
            <w:tcW w:w="136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王晓莉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项目资金(万元)</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年度预算总额</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40.00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其中：财政拨款</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40.00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其他资金</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项目总体目标</w:t>
            </w:r>
          </w:p>
        </w:tc>
        <w:tc>
          <w:tcPr>
            <w:tcW w:w="8160" w:type="dxa"/>
            <w:gridSpan w:val="8"/>
            <w:shd w:val="clear" w:color="auto" w:fill="auto"/>
            <w:vAlign w:val="center"/>
          </w:tcPr>
          <w:p>
            <w:pPr>
              <w:rPr>
                <w:b/>
                <w:color w:val="auto"/>
                <w:sz w:val="18"/>
                <w:szCs w:val="18"/>
                <w:highlight w:val="none"/>
              </w:rPr>
            </w:pPr>
            <w:r>
              <w:rPr>
                <w:rFonts w:hint="eastAsia"/>
                <w:color w:val="auto"/>
                <w:sz w:val="18"/>
                <w:szCs w:val="18"/>
                <w:highlight w:val="none"/>
              </w:rPr>
              <w:t>保障离休干部及二等乙级以上革命伤残军人医疗待遇正常及时拨付</w:t>
            </w:r>
            <w:r>
              <w:rPr>
                <w:rFonts w:hint="eastAsia"/>
                <w:color w:val="auto"/>
                <w:sz w:val="18"/>
                <w:szCs w:val="18"/>
                <w:highlight w:val="none"/>
                <w:lang w:eastAsia="zh-CN"/>
              </w:rPr>
              <w:t>，</w:t>
            </w:r>
            <w:r>
              <w:rPr>
                <w:rFonts w:hint="eastAsia"/>
                <w:color w:val="auto"/>
                <w:sz w:val="18"/>
                <w:szCs w:val="18"/>
                <w:highlight w:val="none"/>
              </w:rPr>
              <w:t>及时解决离休干部及二等乙级以上革命伤残军人看病的医疗费,减轻经济负担，提供更优质更快捷的服务。通过政府拨款从制度安排上缓解离休人员、二等乙级伤残人员就医看病问题的重大举措，是完善离休人员、二等乙级伤残人员体系尤其是医疗保障体系的重要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04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指标值设置依据</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上年完成值</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指标分值权重</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指标赋分规则</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产出指标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数量指标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离休干部人数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=8人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12人</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二等乙级以上革命伤残军人数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hint="eastAsia" w:ascii="宋体" w:hAnsi="宋体"/>
                <w:color w:val="auto"/>
                <w:sz w:val="16"/>
                <w:szCs w:val="16"/>
                <w:highlight w:val="none"/>
                <w:lang w:val="en-US" w:eastAsia="zh-CN"/>
              </w:rPr>
              <w:t>1</w:t>
            </w:r>
            <w:r>
              <w:rPr>
                <w:rFonts w:ascii="宋体" w:hAnsi="宋体"/>
                <w:color w:val="auto"/>
                <w:sz w:val="16"/>
                <w:szCs w:val="16"/>
                <w:highlight w:val="none"/>
              </w:rPr>
              <w:t>人</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质量指标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补贴覆盖率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时效指标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资金支及时率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成本指标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经济成本指标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补贴成本</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＜=40万元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30万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效益指标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社会效益指标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有效保障离休老干部及二等乙级以上革命伤残军人医疗费</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有效保障</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有效保障</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说明材料,工作资料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受益人员满意度</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满意度赋分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bl>
    <w:p>
      <w:pPr>
        <w:rPr>
          <w:color w:val="auto"/>
          <w:highlight w:val="none"/>
        </w:rPr>
      </w:pPr>
    </w:p>
    <w:p>
      <w:pPr>
        <w:spacing w:line="560" w:lineRule="exact"/>
        <w:jc w:val="center"/>
        <w:rPr>
          <w:rFonts w:ascii="仿宋" w:eastAsia="仿宋"/>
          <w:b/>
          <w:color w:val="auto"/>
          <w:sz w:val="28"/>
          <w:szCs w:val="28"/>
          <w:highlight w:val="none"/>
        </w:rPr>
      </w:pPr>
      <w:r>
        <w:rPr>
          <w:b/>
          <w:color w:val="auto"/>
          <w:sz w:val="44"/>
          <w:szCs w:val="44"/>
          <w:highlight w:val="none"/>
        </w:rPr>
        <w:br w:type="page"/>
      </w:r>
      <w:r>
        <w:rPr>
          <w:rFonts w:hint="eastAsia" w:ascii="仿宋" w:eastAsia="仿宋"/>
          <w:b/>
          <w:color w:val="auto"/>
          <w:sz w:val="28"/>
          <w:szCs w:val="28"/>
          <w:highlight w:val="none"/>
        </w:rPr>
        <w:t>项目支出绩效目标表</w:t>
      </w:r>
    </w:p>
    <w:p>
      <w:pPr>
        <w:spacing w:line="360" w:lineRule="exact"/>
        <w:jc w:val="center"/>
        <w:rPr>
          <w:rFonts w:ascii="仿宋" w:eastAsia="仿宋"/>
          <w:color w:val="auto"/>
          <w:sz w:val="18"/>
          <w:szCs w:val="18"/>
          <w:highlight w:val="none"/>
        </w:rPr>
      </w:pPr>
      <w:r>
        <w:rPr>
          <w:rFonts w:hint="eastAsia" w:ascii="仿宋" w:eastAsia="仿宋"/>
          <w:color w:val="auto"/>
          <w:sz w:val="18"/>
          <w:szCs w:val="18"/>
          <w:highlight w:val="none"/>
        </w:rPr>
        <w:t>（</w:t>
      </w:r>
      <w:r>
        <w:rPr>
          <w:rFonts w:hint="eastAsia" w:ascii="仿宋" w:eastAsia="仿宋"/>
          <w:color w:val="auto"/>
          <w:sz w:val="18"/>
          <w:szCs w:val="18"/>
          <w:highlight w:val="none"/>
          <w:lang w:eastAsia="zh-CN"/>
        </w:rPr>
        <w:t>2026</w:t>
      </w:r>
      <w:r>
        <w:rPr>
          <w:rFonts w:hint="eastAsia" w:ascii="仿宋" w:eastAsia="仿宋"/>
          <w:color w:val="auto"/>
          <w:sz w:val="18"/>
          <w:szCs w:val="18"/>
          <w:highlight w:val="none"/>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预算单位</w:t>
            </w:r>
          </w:p>
        </w:tc>
        <w:tc>
          <w:tcPr>
            <w:tcW w:w="8160" w:type="dxa"/>
            <w:gridSpan w:val="8"/>
            <w:shd w:val="clear" w:color="auto" w:fill="auto"/>
            <w:vAlign w:val="center"/>
          </w:tcPr>
          <w:p>
            <w:pPr>
              <w:jc w:val="center"/>
              <w:rPr>
                <w:color w:val="auto"/>
                <w:sz w:val="18"/>
                <w:szCs w:val="18"/>
                <w:highlight w:val="none"/>
              </w:rPr>
            </w:pPr>
            <w:r>
              <w:rPr>
                <w:rFonts w:hint="eastAsia"/>
                <w:color w:val="auto"/>
                <w:sz w:val="18"/>
                <w:szCs w:val="18"/>
                <w:highlight w:val="none"/>
              </w:rPr>
              <w:t>额敏县医疗保障局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color w:val="auto"/>
                <w:sz w:val="18"/>
                <w:szCs w:val="18"/>
                <w:highlight w:val="none"/>
              </w:rPr>
            </w:pPr>
            <w:r>
              <w:rPr>
                <w:rFonts w:hint="eastAsia"/>
                <w:b/>
                <w:color w:val="auto"/>
                <w:sz w:val="18"/>
                <w:szCs w:val="18"/>
                <w:highlight w:val="none"/>
              </w:rPr>
              <w:t>项目名称</w:t>
            </w:r>
          </w:p>
        </w:tc>
        <w:tc>
          <w:tcPr>
            <w:tcW w:w="5440" w:type="dxa"/>
            <w:gridSpan w:val="6"/>
            <w:shd w:val="clear" w:color="auto" w:fill="auto"/>
            <w:vAlign w:val="center"/>
          </w:tcPr>
          <w:p>
            <w:pPr>
              <w:jc w:val="center"/>
              <w:rPr>
                <w:rFonts w:hint="eastAsia"/>
                <w:b/>
                <w:color w:val="auto"/>
                <w:sz w:val="18"/>
                <w:szCs w:val="18"/>
                <w:highlight w:val="none"/>
              </w:rPr>
            </w:pPr>
            <w:r>
              <w:rPr>
                <w:rFonts w:hint="eastAsia"/>
                <w:color w:val="auto"/>
                <w:sz w:val="18"/>
                <w:szCs w:val="18"/>
                <w:highlight w:val="none"/>
              </w:rPr>
              <w:t>塔地财社[</w:t>
            </w:r>
            <w:r>
              <w:rPr>
                <w:rFonts w:hint="eastAsia"/>
                <w:color w:val="auto"/>
                <w:sz w:val="18"/>
                <w:szCs w:val="18"/>
                <w:highlight w:val="none"/>
                <w:lang w:eastAsia="zh-CN"/>
              </w:rPr>
              <w:t>2025</w:t>
            </w:r>
            <w:r>
              <w:rPr>
                <w:rFonts w:hint="eastAsia"/>
                <w:color w:val="auto"/>
                <w:sz w:val="18"/>
                <w:szCs w:val="18"/>
                <w:highlight w:val="none"/>
              </w:rPr>
              <w:t>]99号</w:t>
            </w:r>
            <w:r>
              <w:rPr>
                <w:rFonts w:hint="eastAsia"/>
                <w:color w:val="auto"/>
                <w:sz w:val="18"/>
                <w:szCs w:val="18"/>
                <w:highlight w:val="none"/>
                <w:lang w:eastAsia="zh-CN"/>
              </w:rPr>
              <w:t>2026</w:t>
            </w:r>
            <w:r>
              <w:rPr>
                <w:rFonts w:hint="eastAsia"/>
                <w:color w:val="auto"/>
                <w:sz w:val="18"/>
                <w:szCs w:val="18"/>
                <w:highlight w:val="none"/>
              </w:rPr>
              <w:t>年自治区财政全民参保及医疗保障服务项目补助资金</w:t>
            </w:r>
          </w:p>
        </w:tc>
        <w:tc>
          <w:tcPr>
            <w:tcW w:w="1360" w:type="dxa"/>
            <w:shd w:val="clear" w:color="auto" w:fill="auto"/>
            <w:vAlign w:val="center"/>
          </w:tcPr>
          <w:p>
            <w:pPr>
              <w:jc w:val="center"/>
              <w:rPr>
                <w:rFonts w:hint="eastAsia"/>
                <w:color w:val="auto"/>
                <w:sz w:val="18"/>
                <w:szCs w:val="18"/>
                <w:highlight w:val="none"/>
              </w:rPr>
            </w:pPr>
            <w:r>
              <w:rPr>
                <w:rFonts w:hint="eastAsia"/>
                <w:b/>
                <w:color w:val="auto"/>
                <w:sz w:val="18"/>
                <w:szCs w:val="18"/>
                <w:highlight w:val="none"/>
              </w:rPr>
              <w:t>项目负责人</w:t>
            </w:r>
          </w:p>
        </w:tc>
        <w:tc>
          <w:tcPr>
            <w:tcW w:w="1360" w:type="dxa"/>
            <w:shd w:val="clear" w:color="auto" w:fill="auto"/>
            <w:vAlign w:val="center"/>
          </w:tcPr>
          <w:p>
            <w:pPr>
              <w:jc w:val="center"/>
              <w:rPr>
                <w:rFonts w:hint="eastAsia"/>
                <w:color w:val="auto"/>
                <w:sz w:val="18"/>
                <w:szCs w:val="18"/>
                <w:highlight w:val="none"/>
              </w:rPr>
            </w:pPr>
            <w:r>
              <w:rPr>
                <w:rFonts w:hint="eastAsia"/>
                <w:color w:val="auto"/>
                <w:sz w:val="18"/>
                <w:szCs w:val="18"/>
                <w:highlight w:val="none"/>
              </w:rPr>
              <w:t>王晓莉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项目资金(万元)</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年度预算总额</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5.00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其中：财政拨款</w:t>
            </w:r>
          </w:p>
        </w:tc>
        <w:tc>
          <w:tcPr>
            <w:tcW w:w="1360" w:type="dxa"/>
            <w:gridSpan w:val="2"/>
            <w:shd w:val="clear" w:color="auto" w:fill="auto"/>
            <w:vAlign w:val="center"/>
          </w:tcPr>
          <w:p>
            <w:pPr>
              <w:jc w:val="center"/>
              <w:rPr>
                <w:color w:val="auto"/>
                <w:sz w:val="18"/>
                <w:szCs w:val="18"/>
                <w:highlight w:val="none"/>
              </w:rPr>
            </w:pPr>
            <w:r>
              <w:rPr>
                <w:rFonts w:hint="eastAsia"/>
                <w:color w:val="auto"/>
                <w:sz w:val="18"/>
                <w:szCs w:val="18"/>
                <w:highlight w:val="none"/>
              </w:rPr>
              <w:t>5.00</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其他资金</w:t>
            </w:r>
          </w:p>
        </w:tc>
        <w:tc>
          <w:tcPr>
            <w:tcW w:w="1360" w:type="dxa"/>
            <w:shd w:val="clear" w:color="auto" w:fill="auto"/>
            <w:vAlign w:val="center"/>
          </w:tcPr>
          <w:p>
            <w:pPr>
              <w:jc w:val="center"/>
              <w:rPr>
                <w:color w:val="auto"/>
                <w:sz w:val="18"/>
                <w:szCs w:val="18"/>
                <w:highlight w:val="none"/>
              </w:rPr>
            </w:pPr>
            <w:r>
              <w:rPr>
                <w:rFonts w:hint="eastAsia"/>
                <w:color w:val="auto"/>
                <w:sz w:val="18"/>
                <w:szCs w:val="18"/>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项目总体目标</w:t>
            </w:r>
          </w:p>
        </w:tc>
        <w:tc>
          <w:tcPr>
            <w:tcW w:w="8160" w:type="dxa"/>
            <w:gridSpan w:val="8"/>
            <w:shd w:val="clear" w:color="auto" w:fill="auto"/>
            <w:vAlign w:val="center"/>
          </w:tcPr>
          <w:p>
            <w:pPr>
              <w:rPr>
                <w:rFonts w:hint="eastAsia" w:eastAsia="宋体"/>
                <w:b/>
                <w:color w:val="auto"/>
                <w:sz w:val="18"/>
                <w:szCs w:val="18"/>
                <w:highlight w:val="none"/>
                <w:lang w:eastAsia="zh-CN"/>
              </w:rPr>
            </w:pPr>
            <w:r>
              <w:rPr>
                <w:rFonts w:hint="eastAsia"/>
                <w:color w:val="auto"/>
                <w:sz w:val="18"/>
                <w:szCs w:val="18"/>
                <w:highlight w:val="none"/>
              </w:rPr>
              <w:t>切实推进全民参保登记计划顺利实施，提高预算完整性、加快支出进度，根据塔地财社[</w:t>
            </w:r>
            <w:r>
              <w:rPr>
                <w:rFonts w:hint="eastAsia"/>
                <w:color w:val="auto"/>
                <w:sz w:val="18"/>
                <w:szCs w:val="18"/>
                <w:highlight w:val="none"/>
                <w:lang w:eastAsia="zh-CN"/>
              </w:rPr>
              <w:t>2025</w:t>
            </w:r>
            <w:r>
              <w:rPr>
                <w:rFonts w:hint="eastAsia"/>
                <w:color w:val="auto"/>
                <w:sz w:val="18"/>
                <w:szCs w:val="18"/>
                <w:highlight w:val="none"/>
              </w:rPr>
              <w:t>]99号</w:t>
            </w:r>
            <w:r>
              <w:rPr>
                <w:rFonts w:hint="eastAsia"/>
                <w:color w:val="auto"/>
                <w:sz w:val="18"/>
                <w:szCs w:val="18"/>
                <w:highlight w:val="none"/>
                <w:lang w:eastAsia="zh-CN"/>
              </w:rPr>
              <w:t>2026</w:t>
            </w:r>
            <w:r>
              <w:rPr>
                <w:rFonts w:hint="eastAsia"/>
                <w:color w:val="auto"/>
                <w:sz w:val="18"/>
                <w:szCs w:val="18"/>
                <w:highlight w:val="none"/>
              </w:rPr>
              <w:t>年自治区财政全民参保及医疗保障服务项目补助资金</w:t>
            </w:r>
            <w:r>
              <w:rPr>
                <w:rFonts w:hint="eastAsia"/>
                <w:color w:val="auto"/>
                <w:sz w:val="18"/>
                <w:szCs w:val="18"/>
                <w:highlight w:val="none"/>
                <w:lang w:eastAsia="zh-CN"/>
              </w:rPr>
              <w:t>文件要求</w:t>
            </w:r>
            <w:r>
              <w:rPr>
                <w:rFonts w:hint="eastAsia"/>
                <w:color w:val="auto"/>
                <w:sz w:val="18"/>
                <w:szCs w:val="18"/>
                <w:highlight w:val="none"/>
              </w:rPr>
              <w:t>，</w:t>
            </w:r>
            <w:r>
              <w:rPr>
                <w:rFonts w:hint="eastAsia"/>
                <w:color w:val="auto"/>
                <w:sz w:val="18"/>
                <w:szCs w:val="18"/>
                <w:highlight w:val="none"/>
                <w:lang w:eastAsia="zh-CN"/>
              </w:rPr>
              <w:t>2026</w:t>
            </w:r>
            <w:r>
              <w:rPr>
                <w:rFonts w:hint="eastAsia"/>
                <w:color w:val="auto"/>
                <w:sz w:val="18"/>
                <w:szCs w:val="18"/>
                <w:highlight w:val="none"/>
              </w:rPr>
              <w:t>年自治区财政全民参保及医疗服务经费补助资金5万元专项用于宣传引导、医保基金综合监管、经办服务能力提升、人才队伍建设等方面</w:t>
            </w:r>
            <w:r>
              <w:rPr>
                <w:rFonts w:hint="eastAsia"/>
                <w:color w:val="auto"/>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一级指标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二级指标</w:t>
            </w:r>
          </w:p>
        </w:tc>
        <w:tc>
          <w:tcPr>
            <w:tcW w:w="2040" w:type="dxa"/>
            <w:gridSpan w:val="2"/>
            <w:shd w:val="clear" w:color="auto" w:fill="auto"/>
            <w:vAlign w:val="center"/>
          </w:tcPr>
          <w:p>
            <w:pPr>
              <w:jc w:val="center"/>
              <w:rPr>
                <w:b/>
                <w:color w:val="auto"/>
                <w:sz w:val="18"/>
                <w:szCs w:val="18"/>
                <w:highlight w:val="none"/>
              </w:rPr>
            </w:pPr>
            <w:r>
              <w:rPr>
                <w:rFonts w:hint="eastAsia"/>
                <w:b/>
                <w:color w:val="auto"/>
                <w:sz w:val="18"/>
                <w:szCs w:val="18"/>
                <w:highlight w:val="none"/>
              </w:rPr>
              <w:t>三级指标</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指标值设置依据</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上年完成值</w:t>
            </w:r>
          </w:p>
        </w:tc>
        <w:tc>
          <w:tcPr>
            <w:tcW w:w="680" w:type="dxa"/>
            <w:shd w:val="clear" w:color="auto" w:fill="auto"/>
            <w:vAlign w:val="center"/>
          </w:tcPr>
          <w:p>
            <w:pPr>
              <w:jc w:val="center"/>
              <w:rPr>
                <w:b/>
                <w:color w:val="auto"/>
                <w:sz w:val="18"/>
                <w:szCs w:val="18"/>
                <w:highlight w:val="none"/>
              </w:rPr>
            </w:pPr>
            <w:r>
              <w:rPr>
                <w:rFonts w:hint="eastAsia"/>
                <w:b/>
                <w:color w:val="auto"/>
                <w:sz w:val="18"/>
                <w:szCs w:val="18"/>
                <w:highlight w:val="none"/>
              </w:rPr>
              <w:t>指标分值权重</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指标赋分规则</w:t>
            </w:r>
          </w:p>
        </w:tc>
        <w:tc>
          <w:tcPr>
            <w:tcW w:w="1360" w:type="dxa"/>
            <w:shd w:val="clear" w:color="auto" w:fill="auto"/>
            <w:vAlign w:val="center"/>
          </w:tcPr>
          <w:p>
            <w:pPr>
              <w:jc w:val="center"/>
              <w:rPr>
                <w:b/>
                <w:color w:val="auto"/>
                <w:sz w:val="18"/>
                <w:szCs w:val="18"/>
                <w:highlight w:val="none"/>
              </w:rPr>
            </w:pPr>
            <w:r>
              <w:rPr>
                <w:rFonts w:hint="eastAsia"/>
                <w:b/>
                <w:color w:val="auto"/>
                <w:sz w:val="18"/>
                <w:szCs w:val="18"/>
                <w:highlight w:val="none"/>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产出指标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数量指标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全民参保人数</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＞=13万人</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13万人</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质量指标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当年财政补助资金到位率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时效指标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按时报送各项社会保险基金季报数据及分析</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每季度结束后的15日内</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680" w:type="dxa"/>
            <w:vMerge w:val="continue"/>
            <w:shd w:val="clear" w:color="auto" w:fill="auto"/>
            <w:vAlign w:val="center"/>
          </w:tcPr>
          <w:p>
            <w:pPr>
              <w:jc w:val="center"/>
              <w:rPr>
                <w:rFonts w:hint="eastAsia" w:ascii="宋体" w:hAnsi="宋体"/>
                <w:color w:val="auto"/>
                <w:sz w:val="16"/>
                <w:szCs w:val="16"/>
                <w:highlight w:val="none"/>
              </w:rPr>
            </w:pP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及时报送各项社会保险基金决算数据及分析</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每年度结束后的20日内</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成本指标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经济成本指标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全民参保及医疗服务经费</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＜=5万元</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5万元</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按照完成比例赋分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效益指标</w:t>
            </w:r>
          </w:p>
        </w:tc>
        <w:tc>
          <w:tcPr>
            <w:tcW w:w="680" w:type="dxa"/>
            <w:vMerge w:val="restart"/>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社会效益指标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减轻参保人员就医经济负担</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有效减轻</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有效减轻</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20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按评判等级赋分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s="宋体"/>
                <w:color w:val="auto"/>
                <w:sz w:val="16"/>
                <w:szCs w:val="16"/>
                <w:highlight w:val="none"/>
              </w:rPr>
              <w:t>满意度指标</w:t>
            </w:r>
          </w:p>
        </w:tc>
        <w:tc>
          <w:tcPr>
            <w:tcW w:w="2040" w:type="dxa"/>
            <w:gridSpan w:val="2"/>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医疗保险参保人员满意度</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＞=95%</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计划标准</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80%</w:t>
            </w:r>
          </w:p>
        </w:tc>
        <w:tc>
          <w:tcPr>
            <w:tcW w:w="68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10</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满意度赋分</w:t>
            </w:r>
          </w:p>
        </w:tc>
        <w:tc>
          <w:tcPr>
            <w:tcW w:w="1360" w:type="dxa"/>
            <w:shd w:val="clear" w:color="auto" w:fill="auto"/>
            <w:vAlign w:val="center"/>
          </w:tcPr>
          <w:p>
            <w:pPr>
              <w:jc w:val="center"/>
              <w:rPr>
                <w:rFonts w:hint="eastAsia" w:ascii="宋体" w:hAnsi="宋体"/>
                <w:color w:val="auto"/>
                <w:sz w:val="16"/>
                <w:szCs w:val="16"/>
                <w:highlight w:val="none"/>
              </w:rPr>
            </w:pPr>
            <w:r>
              <w:rPr>
                <w:rFonts w:ascii="宋体" w:hAnsi="宋体"/>
                <w:color w:val="auto"/>
                <w:sz w:val="16"/>
                <w:szCs w:val="16"/>
                <w:highlight w:val="none"/>
              </w:rPr>
              <w:t>工作资料</w:t>
            </w:r>
          </w:p>
        </w:tc>
      </w:tr>
    </w:tbl>
    <w:p>
      <w:pPr>
        <w:rPr>
          <w:color w:val="auto"/>
          <w:highlight w:val="none"/>
        </w:rPr>
      </w:pPr>
    </w:p>
    <w:p>
      <w:pPr>
        <w:pStyle w:val="4"/>
        <w:numPr>
          <w:ilvl w:val="0"/>
          <w:numId w:val="3"/>
        </w:numPr>
        <w:spacing w:before="0" w:after="0" w:line="560" w:lineRule="exact"/>
        <w:ind w:left="0" w:firstLine="562" w:firstLineChars="201"/>
        <w:rPr>
          <w:rFonts w:ascii="楷体" w:eastAsia="楷体"/>
          <w:color w:val="auto"/>
          <w:sz w:val="28"/>
          <w:szCs w:val="28"/>
          <w:highlight w:val="none"/>
        </w:rPr>
      </w:pPr>
      <w:r>
        <w:rPr>
          <w:rFonts w:ascii="楷体" w:eastAsia="楷体"/>
          <w:color w:val="auto"/>
          <w:sz w:val="28"/>
          <w:szCs w:val="28"/>
          <w:highlight w:val="none"/>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ascii="黑体" w:eastAsia="黑体"/>
          <w:color w:val="auto"/>
          <w:sz w:val="30"/>
          <w:szCs w:val="30"/>
          <w:highlight w:val="none"/>
        </w:rPr>
      </w:pPr>
      <w:r>
        <w:rPr>
          <w:rFonts w:ascii="黑体" w:eastAsia="黑体"/>
          <w:color w:val="auto"/>
          <w:sz w:val="30"/>
          <w:szCs w:val="30"/>
          <w:highlight w:val="none"/>
        </w:rPr>
        <w:br w:type="page"/>
      </w:r>
      <w:r>
        <w:rPr>
          <w:rFonts w:hint="eastAsia" w:ascii="黑体" w:eastAsia="黑体"/>
          <w:color w:val="auto"/>
          <w:sz w:val="30"/>
          <w:szCs w:val="30"/>
          <w:highlight w:val="none"/>
        </w:rPr>
        <w:t>第四部分 名词解释</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一、财政拨款:</w:t>
      </w:r>
      <w:r>
        <w:rPr>
          <w:rFonts w:hint="eastAsia" w:ascii="仿宋" w:hAnsi="CIDFont+F6" w:eastAsia="仿宋"/>
          <w:color w:val="auto"/>
          <w:sz w:val="28"/>
          <w:szCs w:val="28"/>
          <w:highlight w:val="none"/>
        </w:rPr>
        <w:t>指由一般公共预算、政府性基金预算、国有资本经营预算安排的财政拨款数。</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二、一般公共预算:</w:t>
      </w:r>
      <w:r>
        <w:rPr>
          <w:rFonts w:hint="eastAsia" w:ascii="仿宋" w:hAnsi="CIDFont+F6" w:eastAsia="仿宋"/>
          <w:color w:val="auto"/>
          <w:sz w:val="28"/>
          <w:szCs w:val="28"/>
          <w:highlight w:val="none"/>
        </w:rPr>
        <w:t>包括公共财政拨款（补助）资金、专项收入。</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三、财政专户管理资金:</w:t>
      </w:r>
      <w:r>
        <w:rPr>
          <w:rFonts w:hint="eastAsia" w:ascii="仿宋" w:hAnsi="CIDFont+F6" w:eastAsia="仿宋"/>
          <w:color w:val="auto"/>
          <w:sz w:val="28"/>
          <w:szCs w:val="28"/>
          <w:highlight w:val="none"/>
        </w:rPr>
        <w:t>包括专户管理行政事业性收费（主要是教育收费）、其他非税收入。</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四、其他资金:</w:t>
      </w:r>
      <w:r>
        <w:rPr>
          <w:rFonts w:hint="eastAsia" w:ascii="仿宋" w:hAnsi="CIDFont+F6" w:eastAsia="仿宋"/>
          <w:color w:val="auto"/>
          <w:sz w:val="28"/>
          <w:szCs w:val="28"/>
          <w:highlight w:val="none"/>
        </w:rPr>
        <w:t>包括事业收入、事业经营收入、其他收入等。</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五、基本支出:</w:t>
      </w:r>
      <w:r>
        <w:rPr>
          <w:rFonts w:hint="eastAsia" w:ascii="仿宋" w:hAnsi="CIDFont+F6" w:eastAsia="仿宋"/>
          <w:color w:val="auto"/>
          <w:sz w:val="28"/>
          <w:szCs w:val="28"/>
          <w:highlight w:val="none"/>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六、项目支出:</w:t>
      </w:r>
      <w:r>
        <w:rPr>
          <w:rFonts w:hint="eastAsia" w:ascii="仿宋" w:hAnsi="CIDFont+F6" w:eastAsia="仿宋"/>
          <w:color w:val="auto"/>
          <w:sz w:val="28"/>
          <w:szCs w:val="28"/>
          <w:highlight w:val="none"/>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七、“三公”经费:</w:t>
      </w:r>
      <w:r>
        <w:rPr>
          <w:rFonts w:hint="eastAsia" w:ascii="仿宋" w:hAnsi="CIDFont+F6" w:eastAsia="仿宋"/>
          <w:color w:val="auto"/>
          <w:sz w:val="28"/>
          <w:szCs w:val="28"/>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auto"/>
          <w:sz w:val="28"/>
          <w:szCs w:val="28"/>
          <w:highlight w:val="none"/>
        </w:rPr>
      </w:pPr>
      <w:r>
        <w:rPr>
          <w:rFonts w:hint="eastAsia" w:ascii="仿宋" w:hAnsi="CIDFont+F4" w:eastAsia="仿宋"/>
          <w:b/>
          <w:color w:val="auto"/>
          <w:sz w:val="28"/>
          <w:szCs w:val="28"/>
          <w:highlight w:val="none"/>
        </w:rPr>
        <w:t>八、机关运行经费:</w:t>
      </w:r>
      <w:r>
        <w:rPr>
          <w:rFonts w:hint="eastAsia" w:ascii="仿宋" w:hAnsi="CIDFont+F6" w:eastAsia="仿宋"/>
          <w:color w:val="auto"/>
          <w:sz w:val="28"/>
          <w:szCs w:val="28"/>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auto"/>
          <w:sz w:val="28"/>
          <w:szCs w:val="28"/>
          <w:highlight w:val="none"/>
        </w:rPr>
      </w:pPr>
      <w:r>
        <w:rPr>
          <w:rFonts w:hint="eastAsia" w:ascii="仿宋" w:hAnsi="CIDFont+F6" w:eastAsia="仿宋"/>
          <w:color w:val="auto"/>
          <w:sz w:val="28"/>
          <w:szCs w:val="28"/>
          <w:highlight w:val="none"/>
        </w:rPr>
        <w:t>额敏县医疗保障局</w:t>
      </w:r>
    </w:p>
    <w:p>
      <w:pPr>
        <w:spacing w:line="560" w:lineRule="exact"/>
        <w:jc w:val="right"/>
        <w:rPr>
          <w:rFonts w:ascii="仿宋" w:eastAsia="仿宋"/>
          <w:color w:val="auto"/>
          <w:sz w:val="28"/>
          <w:szCs w:val="28"/>
          <w:highlight w:val="none"/>
        </w:rPr>
      </w:pPr>
      <w:r>
        <w:rPr>
          <w:rFonts w:hint="eastAsia" w:ascii="仿宋" w:hAnsi="CIDFont+F6" w:eastAsia="仿宋"/>
          <w:color w:val="auto"/>
          <w:sz w:val="28"/>
          <w:szCs w:val="28"/>
          <w:highlight w:val="none"/>
          <w:lang w:eastAsia="zh-CN"/>
        </w:rPr>
        <w:t>2026</w:t>
      </w:r>
      <w:r>
        <w:rPr>
          <w:rFonts w:hint="eastAsia" w:ascii="仿宋" w:hAnsi="CIDFont+F6" w:eastAsia="仿宋"/>
          <w:color w:val="auto"/>
          <w:sz w:val="28"/>
          <w:szCs w:val="28"/>
          <w:highlight w:val="none"/>
        </w:rPr>
        <w:t>年</w:t>
      </w:r>
      <w:r>
        <w:rPr>
          <w:rFonts w:hint="eastAsia" w:ascii="仿宋" w:hAnsi="CIDFont+F6" w:eastAsia="仿宋"/>
          <w:color w:val="auto"/>
          <w:sz w:val="28"/>
          <w:szCs w:val="28"/>
          <w:highlight w:val="none"/>
          <w:lang w:val="en-US" w:eastAsia="zh-CN"/>
        </w:rPr>
        <w:t>2</w:t>
      </w:r>
      <w:r>
        <w:rPr>
          <w:rFonts w:hint="eastAsia" w:ascii="仿宋" w:hAnsi="CIDFont+F6" w:eastAsia="仿宋"/>
          <w:color w:val="auto"/>
          <w:sz w:val="28"/>
          <w:szCs w:val="28"/>
          <w:highlight w:val="none"/>
        </w:rPr>
        <w:t>月1</w:t>
      </w:r>
      <w:r>
        <w:rPr>
          <w:rFonts w:hint="eastAsia" w:ascii="仿宋" w:hAnsi="CIDFont+F6" w:eastAsia="仿宋"/>
          <w:color w:val="auto"/>
          <w:sz w:val="28"/>
          <w:szCs w:val="28"/>
          <w:highlight w:val="none"/>
          <w:lang w:val="en-US" w:eastAsia="zh-CN"/>
        </w:rPr>
        <w:t>4</w:t>
      </w:r>
      <w:bookmarkStart w:id="1" w:name="_GoBack"/>
      <w:bookmarkEnd w:id="1"/>
      <w:r>
        <w:rPr>
          <w:rFonts w:hint="eastAsia" w:ascii="仿宋" w:hAnsi="CIDFont+F6" w:eastAsia="仿宋"/>
          <w:color w:val="auto"/>
          <w:sz w:val="28"/>
          <w:szCs w:val="28"/>
          <w:highlight w:val="none"/>
        </w:rPr>
        <w:t>日</w:t>
      </w:r>
    </w:p>
    <w:p>
      <w:pPr>
        <w:rPr>
          <w:color w:val="auto"/>
          <w:highlight w:val="none"/>
        </w:rPr>
      </w:pP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CC1C0F"/>
    <w:multiLevelType w:val="multilevel"/>
    <w:tmpl w:val="1BCC1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C01E86"/>
    <w:rsid w:val="02E94F76"/>
    <w:rsid w:val="05216546"/>
    <w:rsid w:val="05563D80"/>
    <w:rsid w:val="057F1270"/>
    <w:rsid w:val="06FC0882"/>
    <w:rsid w:val="080D4B60"/>
    <w:rsid w:val="082C148A"/>
    <w:rsid w:val="08641C8D"/>
    <w:rsid w:val="08CC4A1B"/>
    <w:rsid w:val="096B3CA2"/>
    <w:rsid w:val="097C3D4B"/>
    <w:rsid w:val="09C82C33"/>
    <w:rsid w:val="0A097F89"/>
    <w:rsid w:val="0ACA1C0A"/>
    <w:rsid w:val="0BEB474C"/>
    <w:rsid w:val="0E0802A4"/>
    <w:rsid w:val="0E284650"/>
    <w:rsid w:val="0E4D3588"/>
    <w:rsid w:val="0F2F6409"/>
    <w:rsid w:val="0FDF5034"/>
    <w:rsid w:val="10545E2A"/>
    <w:rsid w:val="11C77E03"/>
    <w:rsid w:val="11D64215"/>
    <w:rsid w:val="11FB22EF"/>
    <w:rsid w:val="12555A81"/>
    <w:rsid w:val="126A598F"/>
    <w:rsid w:val="1299596E"/>
    <w:rsid w:val="12B24C82"/>
    <w:rsid w:val="135F0966"/>
    <w:rsid w:val="145A2571"/>
    <w:rsid w:val="15C076B6"/>
    <w:rsid w:val="15C471A6"/>
    <w:rsid w:val="163309B6"/>
    <w:rsid w:val="167253EC"/>
    <w:rsid w:val="193E4912"/>
    <w:rsid w:val="1A4C32C6"/>
    <w:rsid w:val="1BAF19C6"/>
    <w:rsid w:val="1E3D5D47"/>
    <w:rsid w:val="1FBC6965"/>
    <w:rsid w:val="216B497A"/>
    <w:rsid w:val="217F6677"/>
    <w:rsid w:val="21DD6EFA"/>
    <w:rsid w:val="226E284B"/>
    <w:rsid w:val="242A0B1C"/>
    <w:rsid w:val="24AC7783"/>
    <w:rsid w:val="26B8641B"/>
    <w:rsid w:val="27AF0600"/>
    <w:rsid w:val="27B23302"/>
    <w:rsid w:val="283F5348"/>
    <w:rsid w:val="29674402"/>
    <w:rsid w:val="2A0B0AA8"/>
    <w:rsid w:val="2A412EF5"/>
    <w:rsid w:val="2A726D79"/>
    <w:rsid w:val="2D8A311A"/>
    <w:rsid w:val="2DE07AF6"/>
    <w:rsid w:val="2E734247"/>
    <w:rsid w:val="2EA648A4"/>
    <w:rsid w:val="2F124686"/>
    <w:rsid w:val="2FBC45F2"/>
    <w:rsid w:val="30586A11"/>
    <w:rsid w:val="31880C30"/>
    <w:rsid w:val="31943A79"/>
    <w:rsid w:val="31A31F0E"/>
    <w:rsid w:val="321B7CF6"/>
    <w:rsid w:val="324C4353"/>
    <w:rsid w:val="331D7A9E"/>
    <w:rsid w:val="33484B1B"/>
    <w:rsid w:val="34083D38"/>
    <w:rsid w:val="358D0F0B"/>
    <w:rsid w:val="364818B1"/>
    <w:rsid w:val="373227C5"/>
    <w:rsid w:val="3A706C7B"/>
    <w:rsid w:val="3AC058DE"/>
    <w:rsid w:val="3AD969A0"/>
    <w:rsid w:val="3CE05DC4"/>
    <w:rsid w:val="3D3954D4"/>
    <w:rsid w:val="3E7615A0"/>
    <w:rsid w:val="40BE466E"/>
    <w:rsid w:val="419A55AA"/>
    <w:rsid w:val="41E77BF5"/>
    <w:rsid w:val="428427E6"/>
    <w:rsid w:val="42B25F3A"/>
    <w:rsid w:val="42DB58C4"/>
    <w:rsid w:val="43B21B3C"/>
    <w:rsid w:val="445448B1"/>
    <w:rsid w:val="44C55CAC"/>
    <w:rsid w:val="45F15AE8"/>
    <w:rsid w:val="46841EB6"/>
    <w:rsid w:val="487D096B"/>
    <w:rsid w:val="489857A5"/>
    <w:rsid w:val="48C742DC"/>
    <w:rsid w:val="49816239"/>
    <w:rsid w:val="49B44860"/>
    <w:rsid w:val="49CA5E32"/>
    <w:rsid w:val="4B162E07"/>
    <w:rsid w:val="4B3F63AB"/>
    <w:rsid w:val="4B904E59"/>
    <w:rsid w:val="4B9F3A97"/>
    <w:rsid w:val="4BCD43EB"/>
    <w:rsid w:val="4C047BB9"/>
    <w:rsid w:val="4C2832E3"/>
    <w:rsid w:val="4CE511D4"/>
    <w:rsid w:val="4EA053B3"/>
    <w:rsid w:val="4FA47125"/>
    <w:rsid w:val="4FC11A85"/>
    <w:rsid w:val="4FD83B05"/>
    <w:rsid w:val="501F49FD"/>
    <w:rsid w:val="50B415EA"/>
    <w:rsid w:val="51947440"/>
    <w:rsid w:val="52C01E86"/>
    <w:rsid w:val="5325057D"/>
    <w:rsid w:val="549332C4"/>
    <w:rsid w:val="551469F9"/>
    <w:rsid w:val="55C776C9"/>
    <w:rsid w:val="56D06A51"/>
    <w:rsid w:val="56FD1BA1"/>
    <w:rsid w:val="58507E4A"/>
    <w:rsid w:val="58D073A1"/>
    <w:rsid w:val="59CD007B"/>
    <w:rsid w:val="5A494B51"/>
    <w:rsid w:val="5AA601F5"/>
    <w:rsid w:val="5B5C1B4F"/>
    <w:rsid w:val="5B9C33A6"/>
    <w:rsid w:val="5D4E2409"/>
    <w:rsid w:val="5E806DB9"/>
    <w:rsid w:val="5ECB647C"/>
    <w:rsid w:val="5EF10750"/>
    <w:rsid w:val="61646714"/>
    <w:rsid w:val="62DA7176"/>
    <w:rsid w:val="63C4349A"/>
    <w:rsid w:val="642B176B"/>
    <w:rsid w:val="6571289C"/>
    <w:rsid w:val="660C5D19"/>
    <w:rsid w:val="67C1666E"/>
    <w:rsid w:val="67E20393"/>
    <w:rsid w:val="68773BBF"/>
    <w:rsid w:val="698A12E2"/>
    <w:rsid w:val="69DF102E"/>
    <w:rsid w:val="6A786D8C"/>
    <w:rsid w:val="6AA73316"/>
    <w:rsid w:val="6B0F76F1"/>
    <w:rsid w:val="6B7C1223"/>
    <w:rsid w:val="6CF46B9E"/>
    <w:rsid w:val="6F8D0945"/>
    <w:rsid w:val="6F9249AF"/>
    <w:rsid w:val="6FA107E1"/>
    <w:rsid w:val="70512559"/>
    <w:rsid w:val="71C96148"/>
    <w:rsid w:val="71F73E14"/>
    <w:rsid w:val="721511AE"/>
    <w:rsid w:val="729F5F2A"/>
    <w:rsid w:val="7399224D"/>
    <w:rsid w:val="78801C2E"/>
    <w:rsid w:val="789B6A68"/>
    <w:rsid w:val="78FE394D"/>
    <w:rsid w:val="7D276B1C"/>
    <w:rsid w:val="7D6E5432"/>
    <w:rsid w:val="7D80622C"/>
    <w:rsid w:val="7D881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ascii="Times New Roman" w:hAnsi="Times New Roman"/>
      <w:b/>
      <w:sz w:val="32"/>
      <w:szCs w:val="32"/>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customStyle="1"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11457</Words>
  <Characters>13731</Characters>
  <Lines>0</Lines>
  <Paragraphs>0</Paragraphs>
  <TotalTime>12</TotalTime>
  <ScaleCrop>false</ScaleCrop>
  <LinksUpToDate>false</LinksUpToDate>
  <CharactersWithSpaces>14105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2025-03-11T10:26:00Z</dcterms:created>
  <dc:creator>蝶舞</dc:creator>
  <cp:lastModifiedBy>Administrator</cp:lastModifiedBy>
  <cp:lastPrinted>2025-03-12T05:12:00Z</cp:lastPrinted>
  <dcterms:modified xsi:type="dcterms:W3CDTF">2026-02-14T04:56:36Z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8FA227C536054471AC13371508C3A340_11</vt:lpwstr>
  </property>
  <property fmtid="{D5CDD505-2E9C-101B-9397-08002B2CF9AE}" pid="4" name="KSOTemplateDocerSaveRecord">
    <vt:lpwstr>eyJoZGlkIjoiZWFmOTMzNGE2Y2Y3YWYxMjhiM2QwY2EzN2E4ODNjZTciLCJ1c2VySWQiOiI1MzE3NjAyNDcifQ==</vt:lpwstr>
  </property>
</Properties>
</file>