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lang w:val="en-US" w:eastAsia="zh-CN"/>
        </w:rPr>
      </w:pPr>
      <w:bookmarkStart w:id="0" w:name="_GoBack"/>
      <w:bookmarkEnd w:id="0"/>
      <w:r>
        <w:rPr>
          <w:rFonts w:hint="eastAsia" w:ascii="黑体" w:hAnsi="ArialUnicodeMS" w:eastAsia="黑体"/>
          <w:color w:val="000000"/>
          <w:sz w:val="44"/>
          <w:szCs w:val="44"/>
          <w:lang w:val="en-US" w:eastAsia="zh-CN"/>
        </w:rPr>
        <w:t xml:space="preserve"> </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额敏县育才幼儿园</w:t>
      </w:r>
    </w:p>
    <w:p>
      <w:pPr>
        <w:jc w:val="center"/>
        <w:rPr>
          <w:rFonts w:hint="default" w:ascii="黑体" w:hAnsi="ArialUnicodeMS" w:eastAsia="黑体"/>
          <w:color w:val="000000"/>
          <w:sz w:val="44"/>
          <w:szCs w:val="44"/>
          <w:lang w:val="en-US" w:eastAsia="zh-CN"/>
        </w:rPr>
      </w:pPr>
      <w:r>
        <w:rPr>
          <w:rFonts w:hint="eastAsia" w:ascii="黑体" w:hAnsi="ArialUnicodeMS" w:eastAsia="黑体"/>
          <w:color w:val="000000"/>
          <w:sz w:val="44"/>
          <w:szCs w:val="44"/>
          <w:lang w:val="en-US" w:eastAsia="zh-CN"/>
        </w:rPr>
        <w:t xml:space="preserve">  </w:t>
      </w: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lang w:val="en-US" w:eastAsia="zh-CN"/>
        </w:rPr>
      </w:pPr>
      <w:r>
        <w:rPr>
          <w:rFonts w:hint="eastAsia" w:ascii="仿宋" w:hAnsi="仿宋" w:eastAsia="仿宋"/>
          <w:color w:val="000000"/>
          <w:sz w:val="28"/>
          <w:szCs w:val="28"/>
        </w:rPr>
        <w:t>一、 主要职能</w:t>
      </w:r>
      <w:r>
        <w:rPr>
          <w:rFonts w:hint="eastAsia" w:ascii="仿宋" w:hAnsi="仿宋" w:eastAsia="仿宋"/>
          <w:color w:val="000000"/>
          <w:sz w:val="28"/>
          <w:szCs w:val="28"/>
          <w:lang w:val="en-US" w:eastAsia="zh-CN"/>
        </w:rPr>
        <w:t xml:space="preserve"> </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关于额敏县育才幼儿园</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关于额敏县育才幼儿园</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关于额敏县育才幼儿园</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关于额敏县育才幼儿园</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关于额敏县育才幼儿园</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关于额敏县育才幼儿园</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关于额敏县育才幼儿园</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关于额敏县育才幼儿园</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关于额敏县育才幼儿园</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关于额敏县育才幼儿园</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关于额敏县育才幼儿园</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8"/>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1、认真贯彻中华人民共和国教育法、幼儿园管理条例、幼儿园教育指导纲要和幼儿园工作规程，规范幼儿园各项工作；</w:t>
      </w:r>
    </w:p>
    <w:p>
      <w:pPr>
        <w:pStyle w:val="8"/>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2、与家庭、社区密切合作，与小学互相衔接，综合利用各种教育资源，共同为幼儿的发展创造良好的条件；</w:t>
      </w:r>
    </w:p>
    <w:p>
      <w:pPr>
        <w:pStyle w:val="8"/>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 xml:space="preserve">3、从实际出发，实施素质教育，为幼儿发展打下好基础。 </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8"/>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额敏县育才幼儿园无下属预算单位，下设2个处室，分别是：园长办公室、办公室。</w:t>
      </w:r>
    </w:p>
    <w:p>
      <w:pPr>
        <w:pStyle w:val="8"/>
        <w:spacing w:line="560" w:lineRule="exact"/>
        <w:ind w:firstLine="560"/>
        <w:rPr>
          <w:rFonts w:hint="eastAsia" w:ascii="仿宋" w:hAnsi="仿宋" w:eastAsia="仿宋"/>
          <w:color w:val="000000"/>
          <w:sz w:val="28"/>
          <w:szCs w:val="28"/>
          <w:lang w:val="en-US" w:eastAsia="zh-CN"/>
        </w:rPr>
      </w:pPr>
      <w:r>
        <w:rPr>
          <w:rFonts w:hint="eastAsia" w:ascii="仿宋" w:hAnsi="仿宋" w:eastAsia="仿宋"/>
          <w:color w:val="000000"/>
          <w:sz w:val="28"/>
          <w:szCs w:val="28"/>
        </w:rPr>
        <w:t>额敏县育才幼儿园编制数14，实有人数19人，其中：在职19人，增加1人；退休0人，增加0人；离休0人，增加0人。</w:t>
      </w:r>
      <w:r>
        <w:rPr>
          <w:rFonts w:hint="eastAsia" w:ascii="仿宋" w:hAnsi="仿宋" w:eastAsia="仿宋"/>
          <w:color w:val="000000"/>
          <w:sz w:val="28"/>
          <w:szCs w:val="28"/>
          <w:lang w:val="en-US" w:eastAsia="zh-CN"/>
        </w:rPr>
        <w:t xml:space="preserve"> </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6"/>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编制部门：额敏县育才幼儿园</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356.73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356.22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332.36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23.86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0.51</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0.51</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356.73</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356.73</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6"/>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编制部门：额敏县育才幼儿园</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356.73</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356.22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332.36</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23.86</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0.51</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教育支出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286.14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285.63</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261.78</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23.86</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0.51</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普通教育</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286.14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285.63</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261.78</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23.86</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0.51</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学前教育</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286.14</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285.63</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261.78</w:t>
            </w: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23.86</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0.51</w:t>
            </w: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30.12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30.12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30.12</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30.12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30.12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30.12</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30.12</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30.12</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30.12</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14.80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14.80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14.80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14.80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14.80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14.80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14.80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14.80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14.80</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25.67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25.67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25.67</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25.67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25.67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25.67</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25.67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25.67</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25.67</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编制部门：额敏县育才幼儿园</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356.73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291.04</w:t>
            </w:r>
          </w:p>
        </w:tc>
        <w:tc>
          <w:tcPr>
            <w:tcW w:w="1405" w:type="dxa"/>
            <w:shd w:val="clear" w:color="auto" w:fill="auto"/>
            <w:vAlign w:val="center"/>
          </w:tcPr>
          <w:p>
            <w:pPr>
              <w:jc w:val="right"/>
              <w:rPr>
                <w:b/>
                <w:sz w:val="18"/>
                <w:szCs w:val="18"/>
              </w:rPr>
            </w:pPr>
            <w:r>
              <w:rPr>
                <w:rFonts w:hint="eastAsia" w:ascii="宋体" w:hAnsi="宋体"/>
                <w:b/>
                <w:color w:val="000000"/>
                <w:sz w:val="18"/>
                <w:szCs w:val="18"/>
              </w:rPr>
              <w:t>65.69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教育支出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286.14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220.45</w:t>
            </w:r>
          </w:p>
        </w:tc>
        <w:tc>
          <w:tcPr>
            <w:tcW w:w="1405" w:type="dxa"/>
            <w:shd w:val="clear" w:color="auto" w:fill="auto"/>
            <w:vAlign w:val="center"/>
          </w:tcPr>
          <w:p>
            <w:pPr>
              <w:jc w:val="right"/>
              <w:rPr>
                <w:b/>
                <w:sz w:val="18"/>
                <w:szCs w:val="18"/>
              </w:rPr>
            </w:pPr>
            <w:r>
              <w:rPr>
                <w:rFonts w:hint="eastAsia" w:ascii="宋体" w:hAnsi="宋体"/>
                <w:b/>
                <w:color w:val="000000"/>
                <w:sz w:val="18"/>
                <w:szCs w:val="18"/>
              </w:rPr>
              <w:t>65.69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普通教育</w:t>
            </w:r>
          </w:p>
        </w:tc>
        <w:tc>
          <w:tcPr>
            <w:tcW w:w="1306" w:type="dxa"/>
            <w:shd w:val="clear" w:color="auto" w:fill="auto"/>
            <w:vAlign w:val="center"/>
          </w:tcPr>
          <w:p>
            <w:pPr>
              <w:jc w:val="right"/>
              <w:rPr>
                <w:b/>
                <w:sz w:val="18"/>
                <w:szCs w:val="18"/>
              </w:rPr>
            </w:pPr>
            <w:r>
              <w:rPr>
                <w:rFonts w:hint="eastAsia" w:ascii="宋体" w:hAnsi="宋体"/>
                <w:b/>
                <w:color w:val="000000"/>
                <w:sz w:val="18"/>
                <w:szCs w:val="18"/>
              </w:rPr>
              <w:t>286.14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220.45</w:t>
            </w:r>
          </w:p>
        </w:tc>
        <w:tc>
          <w:tcPr>
            <w:tcW w:w="1405" w:type="dxa"/>
            <w:shd w:val="clear" w:color="auto" w:fill="auto"/>
            <w:vAlign w:val="center"/>
          </w:tcPr>
          <w:p>
            <w:pPr>
              <w:jc w:val="right"/>
              <w:rPr>
                <w:b/>
                <w:sz w:val="18"/>
                <w:szCs w:val="18"/>
              </w:rPr>
            </w:pPr>
            <w:r>
              <w:rPr>
                <w:rFonts w:hint="eastAsia" w:ascii="宋体" w:hAnsi="宋体"/>
                <w:b/>
                <w:color w:val="000000"/>
                <w:sz w:val="18"/>
                <w:szCs w:val="18"/>
              </w:rPr>
              <w:t>65.69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学前教育</w:t>
            </w:r>
          </w:p>
        </w:tc>
        <w:tc>
          <w:tcPr>
            <w:tcW w:w="1306" w:type="dxa"/>
            <w:shd w:val="clear" w:color="auto" w:fill="auto"/>
            <w:vAlign w:val="center"/>
          </w:tcPr>
          <w:p>
            <w:pPr>
              <w:jc w:val="right"/>
              <w:rPr>
                <w:sz w:val="18"/>
                <w:szCs w:val="18"/>
              </w:rPr>
            </w:pPr>
            <w:r>
              <w:rPr>
                <w:rFonts w:hint="eastAsia" w:ascii="宋体" w:hAnsi="宋体"/>
                <w:color w:val="000000"/>
                <w:sz w:val="18"/>
                <w:szCs w:val="18"/>
              </w:rPr>
              <w:t>286.14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220.45</w:t>
            </w:r>
          </w:p>
        </w:tc>
        <w:tc>
          <w:tcPr>
            <w:tcW w:w="1405" w:type="dxa"/>
            <w:shd w:val="clear" w:color="auto" w:fill="auto"/>
            <w:vAlign w:val="center"/>
          </w:tcPr>
          <w:p>
            <w:pPr>
              <w:jc w:val="right"/>
              <w:rPr>
                <w:sz w:val="18"/>
                <w:szCs w:val="18"/>
              </w:rPr>
            </w:pPr>
            <w:r>
              <w:rPr>
                <w:rFonts w:hint="eastAsia" w:ascii="宋体" w:hAnsi="宋体"/>
                <w:color w:val="000000"/>
                <w:sz w:val="18"/>
                <w:szCs w:val="18"/>
              </w:rPr>
              <w:t>65.69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30.12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30.12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30.12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30.12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30.12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30.12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14.80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14.80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14.80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14.80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14.80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14.80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25.67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25.67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25.67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25.67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25.67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25.67</w:t>
            </w:r>
          </w:p>
        </w:tc>
        <w:tc>
          <w:tcPr>
            <w:tcW w:w="1405"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6"/>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编制部门：额敏县育才幼儿园</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356.22</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356.22</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285.63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285.63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30.12</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30.12</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14.80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14.80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25.67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25.67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356.22</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356.22</w:t>
            </w:r>
          </w:p>
        </w:tc>
        <w:tc>
          <w:tcPr>
            <w:tcW w:w="1063" w:type="dxa"/>
            <w:gridSpan w:val="2"/>
            <w:shd w:val="clear" w:color="auto" w:fill="auto"/>
          </w:tcPr>
          <w:p>
            <w:pPr>
              <w:jc w:val="right"/>
              <w:rPr>
                <w:sz w:val="18"/>
                <w:szCs w:val="18"/>
              </w:rPr>
            </w:pPr>
            <w:r>
              <w:rPr>
                <w:rFonts w:hint="eastAsia" w:ascii="宋体" w:hAnsi="宋体"/>
                <w:b/>
                <w:color w:val="000000"/>
                <w:sz w:val="18"/>
                <w:szCs w:val="18"/>
              </w:rPr>
              <w:t>356.22</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编制部门：额敏县育才幼儿园</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356.22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291.04</w:t>
            </w:r>
          </w:p>
        </w:tc>
        <w:tc>
          <w:tcPr>
            <w:tcW w:w="1427" w:type="dxa"/>
            <w:shd w:val="clear" w:color="auto" w:fill="auto"/>
            <w:vAlign w:val="center"/>
          </w:tcPr>
          <w:p>
            <w:pPr>
              <w:jc w:val="right"/>
              <w:rPr>
                <w:b/>
                <w:sz w:val="18"/>
                <w:szCs w:val="18"/>
              </w:rPr>
            </w:pPr>
            <w:r>
              <w:rPr>
                <w:rFonts w:hint="eastAsia" w:ascii="宋体" w:hAnsi="宋体"/>
                <w:b/>
                <w:color w:val="000000"/>
                <w:sz w:val="18"/>
                <w:szCs w:val="18"/>
              </w:rPr>
              <w:t>65.18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教育支出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285.63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220.45</w:t>
            </w:r>
          </w:p>
        </w:tc>
        <w:tc>
          <w:tcPr>
            <w:tcW w:w="1427" w:type="dxa"/>
            <w:shd w:val="clear" w:color="auto" w:fill="auto"/>
            <w:vAlign w:val="center"/>
          </w:tcPr>
          <w:p>
            <w:pPr>
              <w:jc w:val="right"/>
              <w:rPr>
                <w:b/>
                <w:sz w:val="18"/>
                <w:szCs w:val="18"/>
              </w:rPr>
            </w:pPr>
            <w:r>
              <w:rPr>
                <w:rFonts w:hint="eastAsia" w:ascii="宋体" w:hAnsi="宋体"/>
                <w:b/>
                <w:color w:val="000000"/>
                <w:sz w:val="18"/>
                <w:szCs w:val="18"/>
              </w:rPr>
              <w:t>65.18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普通教育</w:t>
            </w:r>
          </w:p>
        </w:tc>
        <w:tc>
          <w:tcPr>
            <w:tcW w:w="1367" w:type="dxa"/>
            <w:shd w:val="clear" w:color="auto" w:fill="auto"/>
            <w:vAlign w:val="center"/>
          </w:tcPr>
          <w:p>
            <w:pPr>
              <w:jc w:val="right"/>
              <w:rPr>
                <w:b/>
                <w:sz w:val="18"/>
                <w:szCs w:val="18"/>
              </w:rPr>
            </w:pPr>
            <w:r>
              <w:rPr>
                <w:rFonts w:hint="eastAsia" w:ascii="宋体" w:hAnsi="宋体"/>
                <w:b/>
                <w:color w:val="000000"/>
                <w:sz w:val="18"/>
                <w:szCs w:val="18"/>
              </w:rPr>
              <w:t>285.63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220.45</w:t>
            </w:r>
          </w:p>
        </w:tc>
        <w:tc>
          <w:tcPr>
            <w:tcW w:w="1427" w:type="dxa"/>
            <w:shd w:val="clear" w:color="auto" w:fill="auto"/>
            <w:vAlign w:val="center"/>
          </w:tcPr>
          <w:p>
            <w:pPr>
              <w:jc w:val="right"/>
              <w:rPr>
                <w:b/>
                <w:sz w:val="18"/>
                <w:szCs w:val="18"/>
              </w:rPr>
            </w:pPr>
            <w:r>
              <w:rPr>
                <w:rFonts w:hint="eastAsia" w:ascii="宋体" w:hAnsi="宋体"/>
                <w:b/>
                <w:color w:val="000000"/>
                <w:sz w:val="18"/>
                <w:szCs w:val="18"/>
              </w:rPr>
              <w:t>65.18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学前教育</w:t>
            </w:r>
          </w:p>
        </w:tc>
        <w:tc>
          <w:tcPr>
            <w:tcW w:w="1367" w:type="dxa"/>
            <w:shd w:val="clear" w:color="auto" w:fill="auto"/>
            <w:vAlign w:val="center"/>
          </w:tcPr>
          <w:p>
            <w:pPr>
              <w:jc w:val="right"/>
              <w:rPr>
                <w:sz w:val="18"/>
                <w:szCs w:val="18"/>
              </w:rPr>
            </w:pPr>
            <w:r>
              <w:rPr>
                <w:rFonts w:hint="eastAsia" w:ascii="宋体" w:hAnsi="宋体"/>
                <w:color w:val="000000"/>
                <w:sz w:val="18"/>
                <w:szCs w:val="18"/>
              </w:rPr>
              <w:t>285.63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220.45</w:t>
            </w:r>
          </w:p>
        </w:tc>
        <w:tc>
          <w:tcPr>
            <w:tcW w:w="1427" w:type="dxa"/>
            <w:shd w:val="clear" w:color="auto" w:fill="auto"/>
            <w:vAlign w:val="center"/>
          </w:tcPr>
          <w:p>
            <w:pPr>
              <w:jc w:val="right"/>
              <w:rPr>
                <w:sz w:val="18"/>
                <w:szCs w:val="18"/>
              </w:rPr>
            </w:pPr>
            <w:r>
              <w:rPr>
                <w:rFonts w:hint="eastAsia" w:ascii="宋体" w:hAnsi="宋体"/>
                <w:color w:val="000000"/>
                <w:sz w:val="18"/>
                <w:szCs w:val="18"/>
              </w:rPr>
              <w:t>65.18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30.12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30.12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30.12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30.12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30.12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30.12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14.80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14.80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14.80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14.80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14.80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14.80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25.67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25.67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25.67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25.67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25.67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25.67</w:t>
            </w:r>
          </w:p>
        </w:tc>
        <w:tc>
          <w:tcPr>
            <w:tcW w:w="1427"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编制部门：额敏县育才幼儿园</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291.04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287.22</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287.22</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287.22</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74.38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74.38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37.25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37.25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62.13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62.13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40.87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40.87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30.12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30.12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14.80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14.80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2.00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25.67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25.67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3.82</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福利费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1.81</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6"/>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编制部门：额敏县育才幼儿园</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65.18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31.83</w:t>
            </w:r>
          </w:p>
        </w:tc>
        <w:tc>
          <w:tcPr>
            <w:tcW w:w="881" w:type="dxa"/>
            <w:shd w:val="clear" w:color="auto" w:fill="auto"/>
            <w:vAlign w:val="center"/>
          </w:tcPr>
          <w:p>
            <w:pPr>
              <w:jc w:val="right"/>
              <w:rPr>
                <w:b/>
                <w:sz w:val="18"/>
                <w:szCs w:val="18"/>
              </w:rPr>
            </w:pPr>
            <w:r>
              <w:rPr>
                <w:rFonts w:hint="default" w:ascii="宋体" w:hAnsi="宋体"/>
                <w:b/>
                <w:kern w:val="0"/>
                <w:sz w:val="13"/>
                <w:szCs w:val="185"/>
              </w:rPr>
              <w:t>30.11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3.24</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额敏县育才幼儿园</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65.18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31.83</w:t>
            </w:r>
          </w:p>
        </w:tc>
        <w:tc>
          <w:tcPr>
            <w:tcW w:w="881" w:type="dxa"/>
            <w:shd w:val="clear" w:color="auto" w:fill="auto"/>
            <w:vAlign w:val="center"/>
          </w:tcPr>
          <w:p>
            <w:pPr>
              <w:jc w:val="right"/>
              <w:rPr>
                <w:b/>
                <w:sz w:val="18"/>
                <w:szCs w:val="18"/>
              </w:rPr>
            </w:pPr>
            <w:r>
              <w:rPr>
                <w:rFonts w:hint="default" w:ascii="宋体" w:hAnsi="宋体"/>
                <w:b/>
                <w:kern w:val="0"/>
                <w:sz w:val="13"/>
                <w:szCs w:val="185"/>
              </w:rPr>
              <w:t>30.11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3.24</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教育支出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65.18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31.83</w:t>
            </w:r>
          </w:p>
        </w:tc>
        <w:tc>
          <w:tcPr>
            <w:tcW w:w="881" w:type="dxa"/>
            <w:shd w:val="clear" w:color="auto" w:fill="auto"/>
            <w:vAlign w:val="center"/>
          </w:tcPr>
          <w:p>
            <w:pPr>
              <w:jc w:val="right"/>
              <w:rPr>
                <w:b/>
                <w:sz w:val="18"/>
                <w:szCs w:val="18"/>
              </w:rPr>
            </w:pPr>
            <w:r>
              <w:rPr>
                <w:rFonts w:hint="default" w:ascii="宋体" w:hAnsi="宋体"/>
                <w:b/>
                <w:kern w:val="0"/>
                <w:sz w:val="13"/>
                <w:szCs w:val="185"/>
              </w:rPr>
              <w:t>30.11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3.24</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r>
              <w:rPr>
                <w:rFonts w:hint="default" w:ascii="宋体" w:hAnsi="宋体"/>
                <w:b/>
                <w:kern w:val="0"/>
                <w:sz w:val="13"/>
                <w:szCs w:val="13"/>
              </w:rPr>
              <w:t>02</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普通教育</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65.18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31.83</w:t>
            </w:r>
          </w:p>
        </w:tc>
        <w:tc>
          <w:tcPr>
            <w:tcW w:w="881" w:type="dxa"/>
            <w:shd w:val="clear" w:color="auto" w:fill="auto"/>
            <w:vAlign w:val="center"/>
          </w:tcPr>
          <w:p>
            <w:pPr>
              <w:jc w:val="right"/>
              <w:rPr>
                <w:b/>
                <w:sz w:val="18"/>
                <w:szCs w:val="18"/>
              </w:rPr>
            </w:pPr>
            <w:r>
              <w:rPr>
                <w:rFonts w:hint="default" w:ascii="宋体" w:hAnsi="宋体"/>
                <w:b/>
                <w:kern w:val="0"/>
                <w:sz w:val="13"/>
                <w:szCs w:val="185"/>
              </w:rPr>
              <w:t>30.11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3.24</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01</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学前教育</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年学前教育幼儿资助-县级配套资金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17.22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14.22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3.00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01</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学前教育</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年学前教育取暖费县级配套资金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4.49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4.49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01</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学前教育</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年学前教育幼儿资助-幼儿伙食补助县级配套资金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19.61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19.61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01</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学前教育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〕78号提前下达</w:t>
            </w:r>
            <w:r>
              <w:rPr>
                <w:rFonts w:hint="eastAsia" w:ascii="宋体" w:hAnsi="宋体"/>
                <w:kern w:val="0"/>
                <w:sz w:val="13"/>
                <w:szCs w:val="13"/>
                <w:lang w:eastAsia="zh-CN"/>
              </w:rPr>
              <w:t>2026</w:t>
            </w:r>
            <w:r>
              <w:rPr>
                <w:rFonts w:hint="default" w:ascii="宋体" w:hAnsi="宋体"/>
                <w:kern w:val="0"/>
                <w:sz w:val="13"/>
                <w:szCs w:val="13"/>
              </w:rPr>
              <w:t>年新疆西藏等地区教育特殊补助资金-农村学前三年免费教育幼儿伙食补助</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10.50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10.50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01</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学前教育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〕78号提前下达</w:t>
            </w:r>
            <w:r>
              <w:rPr>
                <w:rFonts w:hint="eastAsia" w:ascii="宋体" w:hAnsi="宋体"/>
                <w:kern w:val="0"/>
                <w:sz w:val="13"/>
                <w:szCs w:val="13"/>
                <w:lang w:eastAsia="zh-CN"/>
              </w:rPr>
              <w:t>2026</w:t>
            </w:r>
            <w:r>
              <w:rPr>
                <w:rFonts w:hint="default" w:ascii="宋体" w:hAnsi="宋体"/>
                <w:kern w:val="0"/>
                <w:sz w:val="13"/>
                <w:szCs w:val="13"/>
              </w:rPr>
              <w:t>年新疆西藏等地区教育特殊补助资金-农村学前三年免费教育保障机制经费</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13.36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13.12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0.24</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编制部门：额敏县育才幼儿园</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额敏县育才幼儿园</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编制部门：额敏县育才幼儿园</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额敏县育才幼儿园</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6"/>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91"/>
        <w:gridCol w:w="1373"/>
        <w:gridCol w:w="1373"/>
        <w:gridCol w:w="1373"/>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编制部门：额敏县育才幼儿园</w:t>
            </w:r>
          </w:p>
        </w:tc>
        <w:tc>
          <w:tcPr>
            <w:tcW w:w="1403"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91"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3"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149"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91" w:type="dxa"/>
            <w:vMerge w:val="continue"/>
            <w:shd w:val="clear" w:color="auto" w:fill="auto"/>
            <w:vAlign w:val="center"/>
          </w:tcPr>
          <w:p>
            <w:pPr>
              <w:jc w:val="center"/>
              <w:rPr>
                <w:rFonts w:hint="default" w:ascii="宋体" w:hAnsi="宋体"/>
                <w:color w:val="000000"/>
                <w:sz w:val="18"/>
                <w:szCs w:val="18"/>
              </w:rPr>
            </w:pPr>
          </w:p>
        </w:tc>
        <w:tc>
          <w:tcPr>
            <w:tcW w:w="1373" w:type="dxa"/>
            <w:vMerge w:val="continue"/>
            <w:shd w:val="clear" w:color="auto" w:fill="auto"/>
            <w:vAlign w:val="center"/>
          </w:tcPr>
          <w:p>
            <w:pPr>
              <w:jc w:val="center"/>
              <w:rPr>
                <w:rFonts w:hint="default" w:ascii="宋体" w:hAnsi="宋体"/>
                <w:color w:val="000000"/>
                <w:sz w:val="18"/>
                <w:szCs w:val="18"/>
              </w:rPr>
            </w:pPr>
          </w:p>
        </w:tc>
        <w:tc>
          <w:tcPr>
            <w:tcW w:w="1373"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373"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3"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91"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37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37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37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40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额敏县育才幼儿园</w:t>
      </w:r>
      <w:r>
        <w:rPr>
          <w:rFonts w:hint="eastAsia" w:ascii="仿宋" w:eastAsia="仿宋"/>
          <w:b/>
          <w:color w:val="000000"/>
          <w:szCs w:val="21"/>
          <w:lang w:eastAsia="zh-CN"/>
        </w:rPr>
        <w:t>2026</w:t>
      </w:r>
      <w:r>
        <w:rPr>
          <w:rFonts w:hint="eastAsia" w:ascii="仿宋" w:eastAsia="仿宋"/>
          <w:b/>
          <w:color w:val="000000"/>
          <w:szCs w:val="21"/>
        </w:rPr>
        <w:t>年没有使用财政拨款安排“三公”经费支出，财政拨款“三公”经费支出情况表为空表。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6"/>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编制部门：额敏县育才幼儿园</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rPr>
        <w:t>额敏县育才幼儿园</w:t>
      </w:r>
      <w:r>
        <w:rPr>
          <w:rFonts w:hint="eastAsia" w:ascii="仿宋" w:eastAsia="仿宋"/>
          <w:b/>
          <w:color w:val="000000"/>
          <w:szCs w:val="21"/>
          <w:lang w:eastAsia="zh-CN"/>
        </w:rPr>
        <w:t>2026</w:t>
      </w:r>
      <w:r>
        <w:rPr>
          <w:rFonts w:hint="eastAsia" w:ascii="仿宋" w:eastAsia="仿宋"/>
          <w:b/>
          <w:color w:val="000000"/>
          <w:szCs w:val="21"/>
        </w:rPr>
        <w:t>年没有上年结转结余预算安排的支出，上年结转结余情况明细表为空表。</w:t>
      </w: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关于额敏县育才幼儿园</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按照全口径预算的原则，额敏县育才幼儿园</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年所有收入和支出均纳入部门预算管理。收支总预算356.73万元。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关于额敏县育才幼儿园</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额敏县育才幼儿园部门收入预算356.73万元，其中：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一般公共预算332.36万元，占93.17%，比上年预算增加26.08万元，增长8.52%，主要原因是</w:t>
      </w:r>
      <w:r>
        <w:rPr>
          <w:rFonts w:hint="eastAsia" w:ascii="仿宋" w:hAnsi="微软雅黑" w:eastAsia="仿宋"/>
          <w:sz w:val="28"/>
          <w:szCs w:val="28"/>
          <w:highlight w:val="none"/>
        </w:rPr>
        <w:t>在职人员工资调增、社保及公积金缴费基数调增</w:t>
      </w:r>
      <w:r>
        <w:rPr>
          <w:rFonts w:hint="eastAsia" w:ascii="仿宋" w:hAnsi="微软雅黑" w:eastAsia="仿宋"/>
          <w:sz w:val="28"/>
          <w:szCs w:val="28"/>
        </w:rPr>
        <w:t>，</w:t>
      </w:r>
      <w:r>
        <w:rPr>
          <w:rFonts w:hint="eastAsia" w:ascii="仿宋" w:hAnsi="微软雅黑" w:eastAsia="仿宋"/>
          <w:sz w:val="28"/>
          <w:szCs w:val="28"/>
          <w:lang w:val="en-US" w:eastAsia="zh-CN"/>
        </w:rPr>
        <w:t>因此</w:t>
      </w:r>
      <w:r>
        <w:rPr>
          <w:rFonts w:hint="eastAsia" w:ascii="仿宋" w:hAnsi="微软雅黑" w:eastAsia="仿宋"/>
          <w:sz w:val="28"/>
          <w:szCs w:val="28"/>
        </w:rPr>
        <w:t>预算数较上年增加。</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rPr>
        <w:t>上级一般公共预算安排的转移支付资金23.86万元，占6.69%，比上年预算增加4.10万元，增长20.75%，</w:t>
      </w:r>
      <w:r>
        <w:rPr>
          <w:rFonts w:hint="eastAsia" w:ascii="仿宋" w:hAnsi="微软雅黑" w:eastAsia="仿宋"/>
          <w:sz w:val="28"/>
          <w:szCs w:val="28"/>
          <w:highlight w:val="none"/>
        </w:rPr>
        <w:t>主要原因是上级一般公共预算安排的转移支付增加</w:t>
      </w:r>
      <w:r>
        <w:rPr>
          <w:rFonts w:hint="eastAsia" w:ascii="仿宋" w:hAnsi="微软雅黑" w:eastAsia="仿宋"/>
          <w:sz w:val="28"/>
          <w:szCs w:val="28"/>
          <w:highlight w:val="none"/>
          <w:lang w:eastAsia="zh-CN"/>
        </w:rPr>
        <w:t>，</w:t>
      </w:r>
      <w:r>
        <w:rPr>
          <w:rFonts w:hint="eastAsia" w:ascii="仿宋" w:hAnsi="微软雅黑" w:eastAsia="仿宋"/>
          <w:sz w:val="28"/>
          <w:szCs w:val="28"/>
          <w:lang w:val="en-US" w:eastAsia="zh-CN"/>
        </w:rPr>
        <w:t>因此</w:t>
      </w:r>
      <w:r>
        <w:rPr>
          <w:rFonts w:hint="eastAsia" w:ascii="仿宋" w:hAnsi="微软雅黑" w:eastAsia="仿宋"/>
          <w:sz w:val="28"/>
          <w:szCs w:val="28"/>
        </w:rPr>
        <w:t>预算数较上年增加</w:t>
      </w:r>
      <w:r>
        <w:rPr>
          <w:rFonts w:hint="eastAsia" w:ascii="仿宋" w:hAnsi="微软雅黑" w:eastAsia="仿宋"/>
          <w:sz w:val="28"/>
          <w:szCs w:val="28"/>
          <w:highlight w:val="none"/>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单位资金0.51万元，占0.14%，比上年预算减少1.09万元，下降68.13%，主要原因是</w:t>
      </w:r>
      <w:r>
        <w:rPr>
          <w:rFonts w:hint="eastAsia" w:ascii="仿宋" w:hAnsi="微软雅黑" w:eastAsia="仿宋"/>
          <w:sz w:val="28"/>
          <w:szCs w:val="28"/>
          <w:lang w:val="en-US" w:eastAsia="zh-CN"/>
        </w:rPr>
        <w:t>2026年</w:t>
      </w:r>
      <w:r>
        <w:rPr>
          <w:rFonts w:hint="eastAsia" w:ascii="仿宋" w:hAnsi="微软雅黑" w:eastAsia="仿宋"/>
          <w:sz w:val="28"/>
          <w:szCs w:val="28"/>
        </w:rPr>
        <w:t>生育津贴</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，因此预算数较上年</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关于额敏县育才幼儿园</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额敏县育才幼儿园</w:t>
      </w:r>
      <w:r>
        <w:rPr>
          <w:rFonts w:hint="eastAsia" w:ascii="仿宋" w:hAnsi="微软雅黑" w:eastAsia="仿宋"/>
          <w:sz w:val="28"/>
          <w:szCs w:val="28"/>
          <w:lang w:eastAsia="zh-CN"/>
        </w:rPr>
        <w:t>2026</w:t>
      </w:r>
      <w:r>
        <w:rPr>
          <w:rFonts w:hint="eastAsia" w:ascii="仿宋" w:hAnsi="微软雅黑" w:eastAsia="仿宋"/>
          <w:sz w:val="28"/>
          <w:szCs w:val="28"/>
        </w:rPr>
        <w:t>年支出预算356.73万元，其中：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基本支出291.04万元，占81.59%，比上年预算增加25.75万元，增长9.71%，主要原因是</w:t>
      </w:r>
      <w:r>
        <w:rPr>
          <w:rFonts w:hint="eastAsia" w:ascii="仿宋" w:hAnsi="微软雅黑" w:eastAsia="仿宋"/>
          <w:sz w:val="28"/>
          <w:szCs w:val="28"/>
          <w:highlight w:val="none"/>
        </w:rPr>
        <w:t>人员工资调增，社保</w:t>
      </w:r>
      <w:r>
        <w:rPr>
          <w:rFonts w:hint="eastAsia" w:ascii="仿宋" w:hAnsi="微软雅黑" w:eastAsia="仿宋"/>
          <w:sz w:val="28"/>
          <w:szCs w:val="28"/>
          <w:highlight w:val="none"/>
          <w:lang w:val="en-US" w:eastAsia="zh-CN"/>
        </w:rPr>
        <w:t>及</w:t>
      </w:r>
      <w:r>
        <w:rPr>
          <w:rFonts w:hint="eastAsia" w:ascii="仿宋" w:hAnsi="微软雅黑" w:eastAsia="仿宋"/>
          <w:sz w:val="28"/>
          <w:szCs w:val="28"/>
          <w:highlight w:val="none"/>
        </w:rPr>
        <w:t>公积金基数调增</w:t>
      </w:r>
      <w:r>
        <w:rPr>
          <w:rFonts w:hint="eastAsia" w:ascii="仿宋" w:hAnsi="微软雅黑" w:eastAsia="仿宋"/>
          <w:sz w:val="28"/>
          <w:szCs w:val="28"/>
        </w:rPr>
        <w:t>，</w:t>
      </w:r>
      <w:r>
        <w:rPr>
          <w:rFonts w:hint="eastAsia" w:ascii="仿宋" w:hAnsi="微软雅黑" w:eastAsia="仿宋"/>
          <w:sz w:val="28"/>
          <w:szCs w:val="28"/>
          <w:lang w:val="en-US" w:eastAsia="zh-CN"/>
        </w:rPr>
        <w:t>因此</w:t>
      </w:r>
      <w:r>
        <w:rPr>
          <w:rFonts w:hint="eastAsia" w:ascii="仿宋" w:hAnsi="微软雅黑" w:eastAsia="仿宋"/>
          <w:sz w:val="28"/>
          <w:szCs w:val="28"/>
        </w:rPr>
        <w:t>预算数较上年增加。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项目支出65.69万元，占18.41%，比上年预算增加3.34万元，增长5.36%，主要原因是</w:t>
      </w:r>
      <w:r>
        <w:rPr>
          <w:rFonts w:hint="eastAsia" w:ascii="仿宋" w:hAnsi="微软雅黑" w:eastAsia="仿宋"/>
          <w:sz w:val="28"/>
          <w:szCs w:val="28"/>
          <w:lang w:eastAsia="zh-CN"/>
        </w:rPr>
        <w:t>2026</w:t>
      </w:r>
      <w:r>
        <w:rPr>
          <w:rFonts w:hint="eastAsia" w:ascii="仿宋" w:hAnsi="微软雅黑" w:eastAsia="仿宋"/>
          <w:sz w:val="28"/>
          <w:szCs w:val="28"/>
        </w:rPr>
        <w:t>年增加教师配餐费，</w:t>
      </w:r>
      <w:r>
        <w:rPr>
          <w:rFonts w:hint="eastAsia" w:ascii="仿宋" w:hAnsi="微软雅黑" w:eastAsia="仿宋"/>
          <w:sz w:val="28"/>
          <w:szCs w:val="28"/>
          <w:lang w:val="en-US" w:eastAsia="zh-CN"/>
        </w:rPr>
        <w:t>因此</w:t>
      </w:r>
      <w:r>
        <w:rPr>
          <w:rFonts w:hint="eastAsia" w:ascii="仿宋" w:hAnsi="微软雅黑" w:eastAsia="仿宋"/>
          <w:sz w:val="28"/>
          <w:szCs w:val="28"/>
        </w:rPr>
        <w:t>预算数</w:t>
      </w:r>
      <w:r>
        <w:rPr>
          <w:rFonts w:hint="eastAsia" w:ascii="仿宋" w:hAnsi="微软雅黑" w:eastAsia="仿宋"/>
          <w:sz w:val="28"/>
          <w:szCs w:val="28"/>
          <w:lang w:val="en-US" w:eastAsia="zh-CN"/>
        </w:rPr>
        <w:t>较上年</w:t>
      </w:r>
      <w:r>
        <w:rPr>
          <w:rFonts w:hint="eastAsia" w:ascii="仿宋" w:hAnsi="微软雅黑" w:eastAsia="仿宋"/>
          <w:sz w:val="28"/>
          <w:szCs w:val="28"/>
        </w:rPr>
        <w:t>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关于额敏县育才幼儿园</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年财政拨款收支总预算356.22万元。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rPr>
        <w:t>收入预算包括：一般公共预算拨款356.22万元。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一般公共预算支出包括：教育支出285.63万元，主要用于保障正常运行的人员经费,公用经费支出；社会保障和就业支出30.12万元，主要用于人员社保缴费支出；卫生健康支出14.80万元，主要用于人员医疗保险缴费支出；住房保障支出25.67万元，主要用于人员住房公积金缴费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关于额敏县育才幼儿园</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额敏县育才幼儿园</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年一般公共预算拨款合计356.22万元，其中：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基本支出291.04万元，比上年预算增加25.75万元，增长9.71%，主要原因是在职人员较上年增加1人，</w:t>
      </w:r>
      <w:r>
        <w:rPr>
          <w:rFonts w:hint="eastAsia" w:ascii="仿宋" w:hAnsi="微软雅黑" w:eastAsia="仿宋"/>
          <w:sz w:val="28"/>
          <w:szCs w:val="28"/>
          <w:lang w:val="en-US" w:eastAsia="zh-CN"/>
        </w:rPr>
        <w:t>因此</w:t>
      </w:r>
      <w:r>
        <w:rPr>
          <w:rFonts w:hint="eastAsia" w:ascii="仿宋" w:hAnsi="微软雅黑" w:eastAsia="仿宋"/>
          <w:sz w:val="28"/>
          <w:szCs w:val="28"/>
        </w:rPr>
        <w:t>预算数</w:t>
      </w:r>
      <w:r>
        <w:rPr>
          <w:rFonts w:hint="eastAsia" w:ascii="仿宋" w:hAnsi="微软雅黑" w:eastAsia="仿宋"/>
          <w:sz w:val="28"/>
          <w:szCs w:val="28"/>
          <w:lang w:val="en-US" w:eastAsia="zh-CN"/>
        </w:rPr>
        <w:t>较上年</w:t>
      </w:r>
      <w:r>
        <w:rPr>
          <w:rFonts w:hint="eastAsia" w:ascii="仿宋" w:hAnsi="微软雅黑" w:eastAsia="仿宋"/>
          <w:sz w:val="28"/>
          <w:szCs w:val="28"/>
        </w:rPr>
        <w:t>增加。</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rPr>
        <w:t>项目支出65.18万元，比上年预算增加4.43万元，增长7.29%，主要原因是</w:t>
      </w:r>
      <w:r>
        <w:rPr>
          <w:rFonts w:hint="eastAsia" w:ascii="仿宋" w:hAnsi="微软雅黑" w:eastAsia="仿宋"/>
          <w:sz w:val="28"/>
          <w:szCs w:val="28"/>
          <w:highlight w:val="none"/>
          <w:lang w:val="en-US" w:eastAsia="zh-CN"/>
        </w:rPr>
        <w:t>将取暖费缺口列入年初预算，因此预算数较上年增加</w:t>
      </w:r>
      <w:r>
        <w:rPr>
          <w:rFonts w:hint="eastAsia" w:ascii="仿宋" w:hAnsi="微软雅黑" w:eastAsia="仿宋"/>
          <w:sz w:val="28"/>
          <w:szCs w:val="28"/>
          <w:highlight w:val="none"/>
        </w:rPr>
        <w:t>。</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1、教育支出（类）285.63万元，占80.18%。</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2、社会保障和就业支出（类）30.12万元，占8.46%。</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3、卫生健康支出（类）14.80万元，占4.15%。</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4、住房保障支出（类）25.67万元，占7.21%。</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1、教育支出（类）普通教育（款）学前教育（项）：</w:t>
      </w:r>
      <w:r>
        <w:rPr>
          <w:rFonts w:hint="eastAsia" w:ascii="仿宋" w:hAnsi="微软雅黑" w:eastAsia="仿宋"/>
          <w:sz w:val="28"/>
          <w:szCs w:val="28"/>
          <w:lang w:eastAsia="zh-CN"/>
        </w:rPr>
        <w:t>2026</w:t>
      </w:r>
      <w:r>
        <w:rPr>
          <w:rFonts w:hint="eastAsia" w:ascii="仿宋" w:hAnsi="微软雅黑" w:eastAsia="仿宋"/>
          <w:sz w:val="28"/>
          <w:szCs w:val="28"/>
        </w:rPr>
        <w:t>年预算数为285.63万元，比上年预算增加34.58万元，增长13.77%，主要原因是教师人数增加1人，人员工资调资，专项资金增加</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预算数较上年增加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年预算数为30.12万元，比上年预算增加3.57万元，增长13.45%，主要原因是在职教师人数增加1人，养老缴费基数调增，经费增加</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预算数较上年增加</w:t>
      </w:r>
      <w:r>
        <w:rPr>
          <w:rFonts w:hint="eastAsia" w:ascii="仿宋" w:hAnsi="微软雅黑" w:eastAsia="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val="en-US" w:eastAsia="zh-CN"/>
        </w:rPr>
      </w:pPr>
      <w:r>
        <w:rPr>
          <w:rFonts w:hint="eastAsia" w:ascii="仿宋" w:hAnsi="微软雅黑" w:eastAsia="仿宋"/>
          <w:sz w:val="28"/>
          <w:szCs w:val="28"/>
        </w:rPr>
        <w:t>3、社会保障和就业支出（类）行政事业单位养老支出（款）机关事业单位职业年金缴费支出（项）：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年预算数为0.00万元，比上年预算减少13.28万元，下降100.00%，主要原因是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职业年金由财政统一代编</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部门减少了职业年金的支出预算，因此</w:t>
      </w:r>
      <w:r>
        <w:rPr>
          <w:rFonts w:hint="eastAsia" w:ascii="仿宋" w:hAnsi="微软雅黑" w:eastAsia="仿宋"/>
          <w:sz w:val="28"/>
          <w:szCs w:val="28"/>
          <w:lang w:eastAsia="zh-CN"/>
        </w:rPr>
        <w:t>预算数较上年</w:t>
      </w:r>
      <w:r>
        <w:rPr>
          <w:rFonts w:hint="eastAsia" w:ascii="仿宋" w:hAnsi="微软雅黑" w:eastAsia="仿宋"/>
          <w:sz w:val="28"/>
          <w:szCs w:val="28"/>
          <w:lang w:val="en-US" w:eastAsia="zh-CN"/>
        </w:rPr>
        <w:t>减少</w:t>
      </w:r>
      <w:r>
        <w:rPr>
          <w:rFonts w:hint="eastAsia" w:ascii="仿宋" w:hAnsi="微软雅黑" w:eastAsia="仿宋"/>
          <w:sz w:val="28"/>
          <w:szCs w:val="28"/>
        </w:rPr>
        <w:t>。</w:t>
      </w:r>
      <w:r>
        <w:rPr>
          <w:rFonts w:hint="eastAsia" w:ascii="仿宋" w:hAnsi="微软雅黑" w:eastAsia="仿宋"/>
          <w:sz w:val="28"/>
          <w:szCs w:val="28"/>
          <w:lang w:val="en-US" w:eastAsia="zh-CN"/>
        </w:rPr>
        <w:t xml:space="preserve"> </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4、卫生健康支出（类）行政事业单位医疗（款）事业单位医疗（项）：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年预算数为14.80万元，比上年预算增加1.52万元，增长11.45%，主要原因是在职教师人数增加1人，医疗缴费基数调增，经费增加</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预算数较上年增加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年预算数为25.67万元，比上年预算增加3.78万元，增长17.27%，主要原因是在职教师人数增加1人，住房公积金缴费基数调增，经费增加</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预算数较上年增加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关于额敏县育才幼儿园</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额敏县育才幼儿园</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年一般公共预算基本支出291.04万元，其中：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人员经费287.22万元，主要包括：基本工资、津贴补贴、奖金、绩效工资、机关事业单位基本养老保险缴费、职工基本医疗保险缴费、其他社会保障缴费、住房公积金。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公用经费3.82万元，主要包括：工会经费、福利费。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关于额敏县育才幼儿园</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w:t>
      </w:r>
      <w:r>
        <w:rPr>
          <w:rFonts w:hint="eastAsia" w:ascii="仿宋" w:hAnsi="微软雅黑" w:eastAsia="仿宋"/>
          <w:sz w:val="28"/>
          <w:szCs w:val="28"/>
          <w:lang w:eastAsia="zh-CN"/>
        </w:rPr>
        <w:t>2026</w:t>
      </w:r>
      <w:r>
        <w:rPr>
          <w:rFonts w:hint="eastAsia" w:ascii="仿宋" w:hAnsi="微软雅黑" w:eastAsia="仿宋"/>
          <w:sz w:val="28"/>
          <w:szCs w:val="28"/>
        </w:rPr>
        <w:t>年学前教育幼儿资助-县级配套资金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预算安排规模：17.22万元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项目承担单位：额敏县育才幼儿园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物业管理费1.85万元、培训费0.5</w:t>
      </w:r>
      <w:r>
        <w:rPr>
          <w:rFonts w:hint="eastAsia" w:ascii="仿宋" w:hAnsi="微软雅黑" w:eastAsia="仿宋"/>
          <w:sz w:val="28"/>
          <w:szCs w:val="28"/>
          <w:lang w:val="en-US" w:eastAsia="zh-CN"/>
        </w:rPr>
        <w:t>0</w:t>
      </w:r>
      <w:r>
        <w:rPr>
          <w:rFonts w:hint="eastAsia" w:ascii="仿宋" w:hAnsi="微软雅黑" w:eastAsia="仿宋"/>
          <w:sz w:val="28"/>
          <w:szCs w:val="28"/>
        </w:rPr>
        <w:t>万元、办公费4.5</w:t>
      </w:r>
      <w:r>
        <w:rPr>
          <w:rFonts w:hint="eastAsia" w:ascii="仿宋" w:hAnsi="微软雅黑" w:eastAsia="仿宋"/>
          <w:sz w:val="28"/>
          <w:szCs w:val="28"/>
          <w:lang w:val="en-US" w:eastAsia="zh-CN"/>
        </w:rPr>
        <w:t>0</w:t>
      </w:r>
      <w:r>
        <w:rPr>
          <w:rFonts w:hint="eastAsia" w:ascii="仿宋" w:hAnsi="微软雅黑" w:eastAsia="仿宋"/>
          <w:sz w:val="28"/>
          <w:szCs w:val="28"/>
        </w:rPr>
        <w:t>万元、维修费3</w:t>
      </w:r>
      <w:r>
        <w:rPr>
          <w:rFonts w:hint="eastAsia" w:ascii="仿宋" w:hAnsi="微软雅黑" w:eastAsia="仿宋"/>
          <w:sz w:val="28"/>
          <w:szCs w:val="28"/>
          <w:lang w:val="en-US" w:eastAsia="zh-CN"/>
        </w:rPr>
        <w:t>.00</w:t>
      </w:r>
      <w:r>
        <w:rPr>
          <w:rFonts w:hint="eastAsia" w:ascii="仿宋" w:hAnsi="微软雅黑" w:eastAsia="仿宋"/>
          <w:sz w:val="28"/>
          <w:szCs w:val="28"/>
        </w:rPr>
        <w:t>万元、专用</w:t>
      </w:r>
      <w:r>
        <w:rPr>
          <w:rFonts w:hint="eastAsia" w:ascii="仿宋" w:hAnsi="微软雅黑" w:eastAsia="仿宋"/>
          <w:sz w:val="28"/>
          <w:szCs w:val="28"/>
          <w:lang w:eastAsia="zh-CN"/>
        </w:rPr>
        <w:t>材料费</w:t>
      </w:r>
      <w:r>
        <w:rPr>
          <w:rFonts w:hint="eastAsia" w:ascii="仿宋" w:hAnsi="微软雅黑" w:eastAsia="仿宋"/>
          <w:sz w:val="28"/>
          <w:szCs w:val="28"/>
        </w:rPr>
        <w:t>1.85万元、办公设备购置3</w:t>
      </w:r>
      <w:r>
        <w:rPr>
          <w:rFonts w:hint="eastAsia" w:ascii="仿宋" w:hAnsi="微软雅黑" w:eastAsia="仿宋"/>
          <w:sz w:val="28"/>
          <w:szCs w:val="28"/>
          <w:lang w:val="en-US" w:eastAsia="zh-CN"/>
        </w:rPr>
        <w:t>.00</w:t>
      </w:r>
      <w:r>
        <w:rPr>
          <w:rFonts w:hint="eastAsia" w:ascii="仿宋" w:hAnsi="微软雅黑" w:eastAsia="仿宋"/>
          <w:sz w:val="28"/>
          <w:szCs w:val="28"/>
        </w:rPr>
        <w:t>万元、取暖费2.52万元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年1月31日-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w:t>
      </w:r>
      <w:r>
        <w:rPr>
          <w:rFonts w:hint="eastAsia" w:ascii="仿宋" w:hAnsi="微软雅黑" w:eastAsia="仿宋"/>
          <w:sz w:val="28"/>
          <w:szCs w:val="28"/>
          <w:lang w:eastAsia="zh-CN"/>
        </w:rPr>
        <w:t>2026</w:t>
      </w:r>
      <w:r>
        <w:rPr>
          <w:rFonts w:hint="eastAsia" w:ascii="仿宋" w:hAnsi="微软雅黑" w:eastAsia="仿宋"/>
          <w:sz w:val="28"/>
          <w:szCs w:val="28"/>
        </w:rPr>
        <w:t>年学前教育取暖费县级配套资金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预算安排规模：4.49万元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项目承担单位：额敏县育才幼儿园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全部用于</w:t>
      </w:r>
      <w:r>
        <w:rPr>
          <w:rFonts w:hint="eastAsia" w:ascii="仿宋" w:hAnsi="微软雅黑" w:eastAsia="仿宋"/>
          <w:sz w:val="28"/>
          <w:szCs w:val="28"/>
        </w:rPr>
        <w:t>取暖费4.49万元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年1月31日-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w:t>
      </w:r>
      <w:r>
        <w:rPr>
          <w:rFonts w:hint="eastAsia" w:ascii="仿宋" w:hAnsi="微软雅黑" w:eastAsia="仿宋"/>
          <w:sz w:val="28"/>
          <w:szCs w:val="28"/>
          <w:lang w:eastAsia="zh-CN"/>
        </w:rPr>
        <w:t>2026</w:t>
      </w:r>
      <w:r>
        <w:rPr>
          <w:rFonts w:hint="eastAsia" w:ascii="仿宋" w:hAnsi="微软雅黑" w:eastAsia="仿宋"/>
          <w:sz w:val="28"/>
          <w:szCs w:val="28"/>
        </w:rPr>
        <w:t>年学前教育幼儿资助-幼儿伙食补助县级配套资金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预算安排规模：19.61万元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项目承担单位：额敏县育才幼儿园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全部用于</w:t>
      </w:r>
      <w:r>
        <w:rPr>
          <w:rFonts w:hint="eastAsia" w:ascii="仿宋" w:hAnsi="微软雅黑" w:eastAsia="仿宋"/>
          <w:sz w:val="28"/>
          <w:szCs w:val="28"/>
        </w:rPr>
        <w:t>助学金19.61万元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年1月31日-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（四）项目名称：塔地财教〔</w:t>
      </w:r>
      <w:r>
        <w:rPr>
          <w:rFonts w:hint="eastAsia" w:ascii="仿宋" w:hAnsi="微软雅黑" w:eastAsia="仿宋"/>
          <w:sz w:val="28"/>
          <w:szCs w:val="28"/>
          <w:lang w:eastAsia="zh-CN"/>
        </w:rPr>
        <w:t>2025</w:t>
      </w:r>
      <w:r>
        <w:rPr>
          <w:rFonts w:hint="eastAsia" w:ascii="仿宋" w:hAnsi="微软雅黑" w:eastAsia="仿宋"/>
          <w:sz w:val="28"/>
          <w:szCs w:val="28"/>
        </w:rPr>
        <w:t>〕78号提前下达</w:t>
      </w:r>
      <w:r>
        <w:rPr>
          <w:rFonts w:hint="eastAsia" w:ascii="仿宋" w:hAnsi="微软雅黑" w:eastAsia="仿宋"/>
          <w:sz w:val="28"/>
          <w:szCs w:val="28"/>
          <w:lang w:eastAsia="zh-CN"/>
        </w:rPr>
        <w:t>2026</w:t>
      </w:r>
      <w:r>
        <w:rPr>
          <w:rFonts w:hint="eastAsia" w:ascii="仿宋" w:hAnsi="微软雅黑" w:eastAsia="仿宋"/>
          <w:sz w:val="28"/>
          <w:szCs w:val="28"/>
        </w:rPr>
        <w:t>年新疆西藏等地区教育特殊补助资金-农村学前三年免费教育幼儿伙食补助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〕78号提前下达</w:t>
      </w:r>
      <w:r>
        <w:rPr>
          <w:rFonts w:hint="eastAsia" w:ascii="仿宋" w:hAnsi="微软雅黑" w:eastAsia="仿宋"/>
          <w:sz w:val="28"/>
          <w:szCs w:val="28"/>
          <w:lang w:eastAsia="zh-CN"/>
        </w:rPr>
        <w:t>2026</w:t>
      </w:r>
      <w:r>
        <w:rPr>
          <w:rFonts w:hint="eastAsia" w:ascii="仿宋" w:hAnsi="微软雅黑" w:eastAsia="仿宋"/>
          <w:sz w:val="28"/>
          <w:szCs w:val="28"/>
        </w:rPr>
        <w:t>年新疆西藏等地区教育特殊补助资金-农村学前三年免费教育幼儿伙食补助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预算安排规模：10.50万元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项目承担单位：额敏县育才幼儿园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全部用于</w:t>
      </w:r>
      <w:r>
        <w:rPr>
          <w:rFonts w:hint="eastAsia" w:ascii="仿宋" w:hAnsi="微软雅黑" w:eastAsia="仿宋"/>
          <w:sz w:val="28"/>
          <w:szCs w:val="28"/>
        </w:rPr>
        <w:t>助学金10.50万元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年1月31日-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（五）项目名称：塔地财教〔</w:t>
      </w:r>
      <w:r>
        <w:rPr>
          <w:rFonts w:hint="eastAsia" w:ascii="仿宋" w:hAnsi="微软雅黑" w:eastAsia="仿宋"/>
          <w:sz w:val="28"/>
          <w:szCs w:val="28"/>
          <w:lang w:eastAsia="zh-CN"/>
        </w:rPr>
        <w:t>2025</w:t>
      </w:r>
      <w:r>
        <w:rPr>
          <w:rFonts w:hint="eastAsia" w:ascii="仿宋" w:hAnsi="微软雅黑" w:eastAsia="仿宋"/>
          <w:sz w:val="28"/>
          <w:szCs w:val="28"/>
        </w:rPr>
        <w:t>〕78号提前下达</w:t>
      </w:r>
      <w:r>
        <w:rPr>
          <w:rFonts w:hint="eastAsia" w:ascii="仿宋" w:hAnsi="微软雅黑" w:eastAsia="仿宋"/>
          <w:sz w:val="28"/>
          <w:szCs w:val="28"/>
          <w:lang w:eastAsia="zh-CN"/>
        </w:rPr>
        <w:t>2026</w:t>
      </w:r>
      <w:r>
        <w:rPr>
          <w:rFonts w:hint="eastAsia" w:ascii="仿宋" w:hAnsi="微软雅黑" w:eastAsia="仿宋"/>
          <w:sz w:val="28"/>
          <w:szCs w:val="28"/>
        </w:rPr>
        <w:t>年新疆西藏等地区教育特殊补助资金-农村学前三年免费教育保障机制经费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〕78号提前下达</w:t>
      </w:r>
      <w:r>
        <w:rPr>
          <w:rFonts w:hint="eastAsia" w:ascii="仿宋" w:hAnsi="微软雅黑" w:eastAsia="仿宋"/>
          <w:sz w:val="28"/>
          <w:szCs w:val="28"/>
          <w:lang w:eastAsia="zh-CN"/>
        </w:rPr>
        <w:t>2026</w:t>
      </w:r>
      <w:r>
        <w:rPr>
          <w:rFonts w:hint="eastAsia" w:ascii="仿宋" w:hAnsi="微软雅黑" w:eastAsia="仿宋"/>
          <w:sz w:val="28"/>
          <w:szCs w:val="28"/>
        </w:rPr>
        <w:t>年新疆西藏等地区教育特殊补助资金-农村学前三年免费教育保障机制经费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预算安排规模：13.36万元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项目承担单位：额敏县育才幼儿园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邮电费2.09</w:t>
      </w:r>
      <w:r>
        <w:rPr>
          <w:rFonts w:hint="eastAsia" w:ascii="仿宋" w:hAnsi="微软雅黑" w:eastAsia="仿宋"/>
          <w:sz w:val="28"/>
          <w:szCs w:val="28"/>
          <w:lang w:eastAsia="zh-CN"/>
        </w:rPr>
        <w:t>万元</w:t>
      </w:r>
      <w:r>
        <w:rPr>
          <w:rFonts w:hint="eastAsia" w:ascii="仿宋" w:hAnsi="微软雅黑" w:eastAsia="仿宋"/>
          <w:sz w:val="28"/>
          <w:szCs w:val="28"/>
        </w:rPr>
        <w:t>、电费2.2</w:t>
      </w:r>
      <w:r>
        <w:rPr>
          <w:rFonts w:hint="eastAsia" w:ascii="仿宋" w:hAnsi="微软雅黑" w:eastAsia="仿宋"/>
          <w:sz w:val="28"/>
          <w:szCs w:val="28"/>
          <w:lang w:val="en-US" w:eastAsia="zh-CN"/>
        </w:rPr>
        <w:t>0</w:t>
      </w:r>
      <w:r>
        <w:rPr>
          <w:rFonts w:hint="eastAsia" w:ascii="仿宋" w:hAnsi="微软雅黑" w:eastAsia="仿宋"/>
          <w:sz w:val="28"/>
          <w:szCs w:val="28"/>
        </w:rPr>
        <w:t>万元、水费0.5</w:t>
      </w:r>
      <w:r>
        <w:rPr>
          <w:rFonts w:hint="eastAsia" w:ascii="仿宋" w:hAnsi="微软雅黑" w:eastAsia="仿宋"/>
          <w:sz w:val="28"/>
          <w:szCs w:val="28"/>
          <w:lang w:val="en-US" w:eastAsia="zh-CN"/>
        </w:rPr>
        <w:t>1</w:t>
      </w:r>
      <w:r>
        <w:rPr>
          <w:rFonts w:hint="eastAsia" w:ascii="仿宋" w:hAnsi="微软雅黑" w:eastAsia="仿宋"/>
          <w:sz w:val="28"/>
          <w:szCs w:val="28"/>
        </w:rPr>
        <w:t>万元、其他商品服务支出0.84</w:t>
      </w:r>
      <w:r>
        <w:rPr>
          <w:rFonts w:hint="eastAsia" w:ascii="仿宋" w:hAnsi="微软雅黑" w:eastAsia="仿宋"/>
          <w:sz w:val="28"/>
          <w:szCs w:val="28"/>
          <w:lang w:eastAsia="zh-CN"/>
        </w:rPr>
        <w:t>万元</w:t>
      </w:r>
      <w:r>
        <w:rPr>
          <w:rFonts w:hint="eastAsia" w:ascii="仿宋" w:hAnsi="微软雅黑" w:eastAsia="仿宋"/>
          <w:sz w:val="28"/>
          <w:szCs w:val="28"/>
        </w:rPr>
        <w:t>、维修费1</w:t>
      </w:r>
      <w:r>
        <w:rPr>
          <w:rFonts w:hint="eastAsia" w:ascii="仿宋" w:hAnsi="微软雅黑" w:eastAsia="仿宋"/>
          <w:sz w:val="28"/>
          <w:szCs w:val="28"/>
          <w:lang w:val="en-US" w:eastAsia="zh-CN"/>
        </w:rPr>
        <w:t>.00</w:t>
      </w:r>
      <w:r>
        <w:rPr>
          <w:rFonts w:hint="eastAsia" w:ascii="仿宋" w:hAnsi="微软雅黑" w:eastAsia="仿宋"/>
          <w:sz w:val="28"/>
          <w:szCs w:val="28"/>
        </w:rPr>
        <w:t>万元、物业管理费0.09万元、办公费3.04万元、手续费0.05万元、培训费1.8</w:t>
      </w:r>
      <w:r>
        <w:rPr>
          <w:rFonts w:hint="eastAsia" w:ascii="仿宋" w:hAnsi="微软雅黑" w:eastAsia="仿宋"/>
          <w:sz w:val="28"/>
          <w:szCs w:val="28"/>
          <w:lang w:val="en-US" w:eastAsia="zh-CN"/>
        </w:rPr>
        <w:t>0</w:t>
      </w:r>
      <w:r>
        <w:rPr>
          <w:rFonts w:hint="eastAsia" w:ascii="仿宋" w:hAnsi="微软雅黑" w:eastAsia="仿宋"/>
          <w:sz w:val="28"/>
          <w:szCs w:val="28"/>
        </w:rPr>
        <w:t>万元、办公设备购置0.24万元、专用材料费1.5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年1月31日-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关于额敏县育才幼儿园</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额敏县育才幼儿园</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关于额敏县育才幼儿园</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额敏县育才幼儿园</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关于额敏县育才幼儿园</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额敏县育才幼儿园</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年财政拨款“三公”经费数为0.00万元，其中：因公出国（境）费0.00万元，公务用车购置费0.00万元，公务用车运行费0.00万元，公务接待费0.00万元。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年财政拨款“三公”经费预算比上年预算增加0.00万元，增长0.00%，其中：因公出国（境）费增加0.00万元，增长0.00%，主要原因是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w:t>
      </w:r>
      <w:r>
        <w:rPr>
          <w:rFonts w:hint="eastAsia" w:ascii="仿宋" w:hAnsi="微软雅黑" w:eastAsia="仿宋"/>
          <w:sz w:val="28"/>
          <w:szCs w:val="28"/>
          <w:lang w:eastAsia="zh-CN"/>
        </w:rPr>
        <w:t>公务用车购置费预算；</w:t>
      </w:r>
      <w:r>
        <w:rPr>
          <w:rFonts w:hint="eastAsia" w:ascii="仿宋" w:hAnsi="微软雅黑" w:eastAsia="仿宋"/>
          <w:sz w:val="28"/>
          <w:szCs w:val="28"/>
        </w:rPr>
        <w:t>公务用车运行费增加0.00万元，增长0.00%，主要原因是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年均未安排公务用车运行维护费</w:t>
      </w:r>
      <w:r>
        <w:rPr>
          <w:rFonts w:hint="eastAsia" w:ascii="仿宋" w:hAnsi="微软雅黑" w:eastAsia="仿宋"/>
          <w:sz w:val="28"/>
          <w:szCs w:val="28"/>
          <w:lang w:eastAsia="zh-CN"/>
        </w:rPr>
        <w:t>预算</w:t>
      </w:r>
      <w:r>
        <w:rPr>
          <w:rFonts w:hint="eastAsia" w:ascii="仿宋" w:hAnsi="微软雅黑" w:eastAsia="仿宋"/>
          <w:sz w:val="28"/>
          <w:szCs w:val="28"/>
        </w:rPr>
        <w:t>；公务接待费增加0.00万元，增长0.00%，主要原因是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关于额敏县育才幼儿园</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额敏县育才幼儿园</w:t>
      </w:r>
      <w:r>
        <w:rPr>
          <w:rFonts w:hint="eastAsia" w:ascii="仿宋" w:hAnsi="微软雅黑" w:eastAsia="仿宋"/>
          <w:sz w:val="28"/>
          <w:szCs w:val="28"/>
          <w:lang w:eastAsia="zh-CN"/>
        </w:rPr>
        <w:t>2026</w:t>
      </w:r>
      <w:r>
        <w:rPr>
          <w:rFonts w:hint="eastAsia" w:ascii="仿宋" w:hAnsi="微软雅黑" w:eastAsia="仿宋"/>
          <w:sz w:val="28"/>
          <w:szCs w:val="28"/>
        </w:rPr>
        <w:t>年没有上年结转结余预算安排的支出，上年结转结余情况明细表为空表。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额敏县育才幼儿园</w:t>
      </w:r>
      <w:r>
        <w:rPr>
          <w:rFonts w:hint="eastAsia" w:ascii="仿宋" w:hAnsi="微软雅黑" w:eastAsia="仿宋"/>
          <w:sz w:val="28"/>
          <w:szCs w:val="28"/>
          <w:lang w:eastAsia="zh-CN"/>
        </w:rPr>
        <w:t>2026</w:t>
      </w:r>
      <w:r>
        <w:rPr>
          <w:rFonts w:hint="eastAsia" w:ascii="仿宋" w:hAnsi="微软雅黑" w:eastAsia="仿宋"/>
          <w:sz w:val="28"/>
          <w:szCs w:val="28"/>
        </w:rPr>
        <w:t>年的事业单位运行经费财政拨款预算3.82万元，比上年预算增加0.32万元，增长9.14%，主要原因是在职人员工资调增，工会费和福利费基数增加，</w:t>
      </w:r>
      <w:r>
        <w:rPr>
          <w:rFonts w:hint="eastAsia" w:ascii="仿宋" w:hAnsi="微软雅黑" w:eastAsia="仿宋"/>
          <w:sz w:val="28"/>
          <w:szCs w:val="28"/>
          <w:lang w:eastAsia="zh-CN"/>
        </w:rPr>
        <w:t>因此</w:t>
      </w:r>
      <w:r>
        <w:rPr>
          <w:rFonts w:hint="eastAsia" w:ascii="仿宋" w:hAnsi="微软雅黑" w:eastAsia="仿宋"/>
          <w:sz w:val="28"/>
          <w:szCs w:val="28"/>
        </w:rPr>
        <w:t>预算较上年增加。</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年，额敏县育才幼儿园政府采购预算54.41万元，其中：政府采购货物预算50.41万元，政府采购工程预算0.00万元，政府采购服务预算4.00万元。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年，额敏县育才幼儿园面向中小企业预留政府采购项目预算金额54.41万元，小微企业预留政府采购项目预算金额54.41万元。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年底，额敏县育才幼儿园占用使用国有资产总体情况为：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1.房屋2,653.57平方米，价值663.34万元。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3.办公家具价值150.92万元。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年，本部门预算绩效管理整体预算绩效目标1个，涉及预算金额356.7</w:t>
      </w:r>
      <w:r>
        <w:rPr>
          <w:rFonts w:hint="eastAsia" w:ascii="仿宋" w:hAnsi="微软雅黑" w:eastAsia="仿宋"/>
          <w:sz w:val="28"/>
          <w:szCs w:val="28"/>
          <w:lang w:val="en-US" w:eastAsia="zh-CN"/>
        </w:rPr>
        <w:t>3</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个，其中：财政拨款项目涉及预算金额65.18万元；非财政拨款项目涉及预算金额0.51万元。具体情况见下表：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6"/>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额敏县育才幼儿园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赛依提江</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15090500005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lang w:eastAsia="zh-CN"/>
              </w:rPr>
              <w:t>2026</w:t>
            </w:r>
            <w:r>
              <w:rPr>
                <w:rFonts w:hint="eastAsia"/>
                <w:color w:val="000000"/>
                <w:sz w:val="18"/>
                <w:szCs w:val="18"/>
              </w:rPr>
              <w:t>年我园牢固树立科学发展观，全面贯彻党的教育方针，追求科学有序管理，发挥管理与教研效能，强化教研的实效性，深化学前教育保障机制改革，缩小城乡教育差距，促进教育公平和社会公正，科学合理配置义务教育资源，促进农村义务教育均衡发展构建社会主义和谐社会，继续把</w:t>
            </w:r>
            <w:r>
              <w:rPr>
                <w:rFonts w:hint="eastAsia"/>
                <w:color w:val="000000"/>
                <w:sz w:val="18"/>
                <w:szCs w:val="18"/>
                <w:lang w:eastAsia="zh-CN"/>
              </w:rPr>
              <w:t>“双减”工作</w:t>
            </w:r>
            <w:r>
              <w:rPr>
                <w:rFonts w:hint="eastAsia"/>
                <w:color w:val="000000"/>
                <w:sz w:val="18"/>
                <w:szCs w:val="18"/>
              </w:rPr>
              <w:t>摆在突出位置来抓；严抓学校安全管理工作；继续宣传落实资助补助政策；开展控辍保学专项行动;加强青年教师培养工作，继续实施“青蓝工程”以老带新结对帮扶计划</w:t>
            </w:r>
            <w:r>
              <w:rPr>
                <w:rFonts w:hint="eastAsia"/>
                <w:color w:val="000000"/>
                <w:sz w:val="18"/>
                <w:szCs w:val="18"/>
                <w:lang w:eastAsia="zh-CN"/>
              </w:rPr>
              <w:t>。</w:t>
            </w:r>
            <w:r>
              <w:rPr>
                <w:rFonts w:hint="eastAsia"/>
                <w:color w:val="000000"/>
                <w:sz w:val="18"/>
                <w:szCs w:val="18"/>
              </w:rPr>
              <w:t>改善部分学生生活条件，保障困难孩子安心上课，保障每一个孩子不失学，不辍学满足学校教育教学活动正常进行,完善学生资助政策体系,保障学生的就学权益。依据幼儿营养需求标准，合理分配伙食经费，确保食物种类丰富多样，保障农村学前三年适龄幼儿伙食经费1450年/元，学前教育享受资助补助幼儿210人，巩固学前教育入学率全覆盖，学前校方责任险购买全覆盖，保障幼儿安全防意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rFonts w:hint="default" w:eastAsia="宋体"/>
                <w:sz w:val="18"/>
                <w:szCs w:val="18"/>
                <w:lang w:val="en-US" w:eastAsia="zh-CN"/>
              </w:rPr>
            </w:pPr>
            <w:r>
              <w:rPr>
                <w:rFonts w:hint="eastAsia"/>
                <w:sz w:val="18"/>
                <w:szCs w:val="18"/>
              </w:rPr>
              <w:t>23.8</w:t>
            </w: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332.36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运行成本</w:t>
            </w:r>
          </w:p>
        </w:tc>
        <w:tc>
          <w:tcPr>
            <w:tcW w:w="1559" w:type="dxa"/>
            <w:vMerge w:val="restart"/>
            <w:shd w:val="clear" w:color="auto" w:fill="auto"/>
            <w:vAlign w:val="center"/>
          </w:tcPr>
          <w:p>
            <w:pPr>
              <w:jc w:val="center"/>
              <w:rPr>
                <w:sz w:val="18"/>
                <w:szCs w:val="18"/>
              </w:rPr>
            </w:pPr>
            <w:r>
              <w:rPr>
                <w:rFonts w:hint="eastAsia"/>
                <w:sz w:val="18"/>
                <w:szCs w:val="18"/>
              </w:rPr>
              <w:t>成本指标</w:t>
            </w:r>
          </w:p>
        </w:tc>
        <w:tc>
          <w:tcPr>
            <w:tcW w:w="2410" w:type="dxa"/>
            <w:shd w:val="clear" w:color="auto" w:fill="auto"/>
            <w:vAlign w:val="center"/>
          </w:tcPr>
          <w:p>
            <w:pPr>
              <w:jc w:val="center"/>
              <w:rPr>
                <w:sz w:val="18"/>
                <w:szCs w:val="18"/>
              </w:rPr>
            </w:pPr>
            <w:r>
              <w:rPr>
                <w:rFonts w:hint="eastAsia"/>
                <w:sz w:val="18"/>
                <w:szCs w:val="18"/>
              </w:rPr>
              <w:t>保障农村学前三年适龄幼儿伙食经费</w:t>
            </w:r>
          </w:p>
        </w:tc>
        <w:tc>
          <w:tcPr>
            <w:tcW w:w="1448" w:type="dxa"/>
            <w:gridSpan w:val="2"/>
            <w:shd w:val="clear" w:color="auto" w:fill="auto"/>
            <w:vAlign w:val="center"/>
          </w:tcPr>
          <w:p>
            <w:pPr>
              <w:jc w:val="center"/>
              <w:rPr>
                <w:sz w:val="18"/>
                <w:szCs w:val="18"/>
              </w:rPr>
            </w:pPr>
            <w:r>
              <w:rPr>
                <w:rFonts w:hint="eastAsia"/>
                <w:sz w:val="18"/>
                <w:szCs w:val="18"/>
              </w:rPr>
              <w:t>=1450年/元</w:t>
            </w:r>
          </w:p>
        </w:tc>
        <w:tc>
          <w:tcPr>
            <w:tcW w:w="1360" w:type="dxa"/>
            <w:shd w:val="clear" w:color="auto" w:fill="auto"/>
            <w:vAlign w:val="center"/>
          </w:tcPr>
          <w:p>
            <w:pPr>
              <w:jc w:val="center"/>
              <w:rPr>
                <w:sz w:val="18"/>
                <w:szCs w:val="18"/>
              </w:rPr>
            </w:pPr>
            <w:r>
              <w:rPr>
                <w:rFonts w:hint="eastAsia"/>
                <w:sz w:val="18"/>
                <w:szCs w:val="18"/>
              </w:rPr>
              <w:t>关于印发《新疆维吾尔自治区县域学前教育普及普惠督导评估工作方案》的通知</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学前幼儿伙食享受人数</w:t>
            </w:r>
          </w:p>
        </w:tc>
        <w:tc>
          <w:tcPr>
            <w:tcW w:w="1448" w:type="dxa"/>
            <w:gridSpan w:val="2"/>
            <w:shd w:val="clear" w:color="auto" w:fill="auto"/>
            <w:vAlign w:val="center"/>
          </w:tcPr>
          <w:p>
            <w:pPr>
              <w:jc w:val="center"/>
              <w:rPr>
                <w:sz w:val="18"/>
                <w:szCs w:val="18"/>
              </w:rPr>
            </w:pPr>
            <w:r>
              <w:rPr>
                <w:rFonts w:hint="eastAsia"/>
                <w:sz w:val="18"/>
                <w:szCs w:val="18"/>
              </w:rPr>
              <w:t>＞=210人</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巩固学前教育入学率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学前校方责任险购买覆盖率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sz w:val="18"/>
                <w:szCs w:val="18"/>
              </w:rPr>
            </w:pPr>
            <w:r>
              <w:rPr>
                <w:rFonts w:hint="eastAsia"/>
                <w:sz w:val="18"/>
                <w:szCs w:val="18"/>
              </w:rPr>
              <w:t>服务对象满意度</w:t>
            </w:r>
          </w:p>
        </w:tc>
        <w:tc>
          <w:tcPr>
            <w:tcW w:w="1559" w:type="dxa"/>
            <w:shd w:val="clear" w:color="auto" w:fill="auto"/>
            <w:vAlign w:val="center"/>
          </w:tcPr>
          <w:p>
            <w:pPr>
              <w:jc w:val="center"/>
              <w:rPr>
                <w:sz w:val="18"/>
                <w:szCs w:val="18"/>
              </w:rPr>
            </w:pPr>
            <w:r>
              <w:rPr>
                <w:rFonts w:hint="eastAsia"/>
                <w:sz w:val="18"/>
                <w:szCs w:val="18"/>
              </w:rPr>
              <w:t>满意度指标</w:t>
            </w:r>
          </w:p>
        </w:tc>
        <w:tc>
          <w:tcPr>
            <w:tcW w:w="2410" w:type="dxa"/>
            <w:shd w:val="clear" w:color="auto" w:fill="auto"/>
            <w:vAlign w:val="center"/>
          </w:tcPr>
          <w:p>
            <w:pPr>
              <w:jc w:val="center"/>
              <w:rPr>
                <w:sz w:val="18"/>
                <w:szCs w:val="18"/>
              </w:rPr>
            </w:pPr>
            <w:r>
              <w:rPr>
                <w:rFonts w:hint="eastAsia"/>
                <w:sz w:val="18"/>
                <w:szCs w:val="18"/>
              </w:rPr>
              <w:t>家长满意度</w:t>
            </w:r>
          </w:p>
        </w:tc>
        <w:tc>
          <w:tcPr>
            <w:tcW w:w="1448" w:type="dxa"/>
            <w:gridSpan w:val="2"/>
            <w:shd w:val="clear" w:color="auto" w:fill="auto"/>
            <w:vAlign w:val="center"/>
          </w:tcPr>
          <w:p>
            <w:pPr>
              <w:jc w:val="center"/>
              <w:rPr>
                <w:sz w:val="18"/>
                <w:szCs w:val="18"/>
              </w:rPr>
            </w:pPr>
            <w:r>
              <w:rPr>
                <w:rFonts w:hint="eastAsia"/>
                <w:sz w:val="18"/>
                <w:szCs w:val="18"/>
              </w:rPr>
              <w:t>＞=95%</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10</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325"/>
        <w:gridCol w:w="715"/>
        <w:gridCol w:w="860"/>
        <w:gridCol w:w="690"/>
        <w:gridCol w:w="117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额敏县育才幼儿园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63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年学前教育幼儿资助-县级配套资金</w:t>
            </w:r>
          </w:p>
        </w:tc>
        <w:tc>
          <w:tcPr>
            <w:tcW w:w="117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孙惠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2005" w:type="dxa"/>
            <w:gridSpan w:val="2"/>
            <w:shd w:val="clear" w:color="auto" w:fill="auto"/>
            <w:vAlign w:val="center"/>
          </w:tcPr>
          <w:p>
            <w:pPr>
              <w:jc w:val="center"/>
              <w:rPr>
                <w:sz w:val="18"/>
                <w:szCs w:val="18"/>
              </w:rPr>
            </w:pPr>
            <w:r>
              <w:rPr>
                <w:rFonts w:hint="eastAsia"/>
                <w:sz w:val="18"/>
                <w:szCs w:val="18"/>
              </w:rPr>
              <w:t>41.32</w:t>
            </w:r>
          </w:p>
        </w:tc>
        <w:tc>
          <w:tcPr>
            <w:tcW w:w="715" w:type="dxa"/>
            <w:shd w:val="clear" w:color="auto" w:fill="auto"/>
            <w:vAlign w:val="center"/>
          </w:tcPr>
          <w:p>
            <w:pPr>
              <w:jc w:val="center"/>
              <w:rPr>
                <w:sz w:val="18"/>
                <w:szCs w:val="18"/>
              </w:rPr>
            </w:pPr>
            <w:r>
              <w:rPr>
                <w:rFonts w:hint="eastAsia"/>
                <w:sz w:val="18"/>
                <w:szCs w:val="18"/>
              </w:rPr>
              <w:t>其中：财政拨款</w:t>
            </w:r>
          </w:p>
        </w:tc>
        <w:tc>
          <w:tcPr>
            <w:tcW w:w="1550" w:type="dxa"/>
            <w:gridSpan w:val="2"/>
            <w:shd w:val="clear" w:color="auto" w:fill="auto"/>
            <w:vAlign w:val="center"/>
          </w:tcPr>
          <w:p>
            <w:pPr>
              <w:jc w:val="center"/>
              <w:rPr>
                <w:sz w:val="18"/>
                <w:szCs w:val="18"/>
              </w:rPr>
            </w:pPr>
            <w:r>
              <w:rPr>
                <w:rFonts w:hint="eastAsia"/>
                <w:sz w:val="18"/>
                <w:szCs w:val="18"/>
              </w:rPr>
              <w:t>41.32</w:t>
            </w:r>
          </w:p>
        </w:tc>
        <w:tc>
          <w:tcPr>
            <w:tcW w:w="117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深入贯彻新发展理念，加快构建新发展格局，着力推动高质量发展，实现教育行稳致远，社会安定和谐。深入学习习近平新时代中国特色社会主义思想，贯彻党的二十大精神，促进塔城地区额敏县</w:t>
            </w:r>
            <w:r>
              <w:rPr>
                <w:rFonts w:hint="eastAsia"/>
                <w:color w:val="000000"/>
                <w:sz w:val="18"/>
                <w:szCs w:val="18"/>
                <w:lang w:val="en-US" w:eastAsia="zh-CN"/>
              </w:rPr>
              <w:t>育才</w:t>
            </w:r>
            <w:r>
              <w:rPr>
                <w:rFonts w:hint="eastAsia"/>
                <w:color w:val="000000"/>
                <w:sz w:val="18"/>
                <w:szCs w:val="18"/>
              </w:rPr>
              <w:t>幼儿园对宣传贯彻执行党和国家的教育方针、政策和法律法规及上级行政部门的行政规章的顺利宣传，完成相应的学前教育教学工作任务，使额敏县学前教育高质量发展更上新台阶。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1325" w:type="dxa"/>
            <w:shd w:val="clear" w:color="auto" w:fill="auto"/>
            <w:vAlign w:val="center"/>
          </w:tcPr>
          <w:p>
            <w:pPr>
              <w:jc w:val="center"/>
              <w:rPr>
                <w:b/>
                <w:sz w:val="18"/>
                <w:szCs w:val="18"/>
              </w:rPr>
            </w:pPr>
            <w:r>
              <w:rPr>
                <w:rFonts w:hint="eastAsia"/>
                <w:b/>
                <w:sz w:val="18"/>
                <w:szCs w:val="18"/>
              </w:rPr>
              <w:t>指标值</w:t>
            </w:r>
          </w:p>
        </w:tc>
        <w:tc>
          <w:tcPr>
            <w:tcW w:w="715" w:type="dxa"/>
            <w:shd w:val="clear" w:color="auto" w:fill="auto"/>
            <w:vAlign w:val="center"/>
          </w:tcPr>
          <w:p>
            <w:pPr>
              <w:jc w:val="center"/>
              <w:rPr>
                <w:b/>
                <w:sz w:val="18"/>
                <w:szCs w:val="18"/>
              </w:rPr>
            </w:pPr>
            <w:r>
              <w:rPr>
                <w:rFonts w:hint="eastAsia"/>
                <w:b/>
                <w:sz w:val="18"/>
                <w:szCs w:val="18"/>
              </w:rPr>
              <w:t>指标值设置依据</w:t>
            </w:r>
          </w:p>
        </w:tc>
        <w:tc>
          <w:tcPr>
            <w:tcW w:w="860" w:type="dxa"/>
            <w:shd w:val="clear" w:color="auto" w:fill="auto"/>
            <w:vAlign w:val="center"/>
          </w:tcPr>
          <w:p>
            <w:pPr>
              <w:jc w:val="center"/>
              <w:rPr>
                <w:b/>
                <w:sz w:val="18"/>
                <w:szCs w:val="18"/>
              </w:rPr>
            </w:pPr>
            <w:r>
              <w:rPr>
                <w:rFonts w:hint="eastAsia"/>
                <w:b/>
                <w:sz w:val="18"/>
                <w:szCs w:val="18"/>
              </w:rPr>
              <w:t>上年完成值</w:t>
            </w:r>
          </w:p>
        </w:tc>
        <w:tc>
          <w:tcPr>
            <w:tcW w:w="690" w:type="dxa"/>
            <w:shd w:val="clear" w:color="auto" w:fill="auto"/>
            <w:vAlign w:val="center"/>
          </w:tcPr>
          <w:p>
            <w:pPr>
              <w:jc w:val="center"/>
              <w:rPr>
                <w:b/>
                <w:sz w:val="18"/>
                <w:szCs w:val="18"/>
              </w:rPr>
            </w:pPr>
            <w:r>
              <w:rPr>
                <w:rFonts w:hint="eastAsia"/>
                <w:b/>
                <w:sz w:val="18"/>
                <w:szCs w:val="18"/>
              </w:rPr>
              <w:t>指标分值权重</w:t>
            </w:r>
          </w:p>
        </w:tc>
        <w:tc>
          <w:tcPr>
            <w:tcW w:w="117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学前经费享受学生人数</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＞=210人</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860" w:type="dxa"/>
            <w:shd w:val="clear" w:color="auto" w:fill="auto"/>
            <w:vAlign w:val="center"/>
          </w:tcPr>
          <w:p>
            <w:pPr>
              <w:jc w:val="center"/>
              <w:rPr>
                <w:rFonts w:hint="eastAsia" w:ascii="宋体" w:hAnsi="宋体"/>
                <w:sz w:val="16"/>
                <w:szCs w:val="16"/>
              </w:rPr>
            </w:pPr>
            <w:r>
              <w:rPr>
                <w:rFonts w:hint="default" w:ascii="宋体" w:hAnsi="宋体"/>
                <w:sz w:val="16"/>
                <w:szCs w:val="16"/>
              </w:rPr>
              <w:t>210人</w:t>
            </w:r>
          </w:p>
        </w:tc>
        <w:tc>
          <w:tcPr>
            <w:tcW w:w="69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17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学前国语教育覆盖率</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860" w:type="dxa"/>
            <w:shd w:val="clear" w:color="auto" w:fill="auto"/>
            <w:vAlign w:val="center"/>
          </w:tcPr>
          <w:p>
            <w:pPr>
              <w:jc w:val="center"/>
              <w:rPr>
                <w:rFonts w:hint="eastAsia" w:ascii="宋体" w:hAnsi="宋体"/>
                <w:sz w:val="16"/>
                <w:szCs w:val="16"/>
              </w:rPr>
            </w:pPr>
            <w:r>
              <w:rPr>
                <w:rFonts w:hint="default" w:ascii="宋体" w:hAnsi="宋体"/>
                <w:sz w:val="16"/>
                <w:szCs w:val="16"/>
              </w:rPr>
              <w:t>210人</w:t>
            </w:r>
          </w:p>
        </w:tc>
        <w:tc>
          <w:tcPr>
            <w:tcW w:w="69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17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资金支付及时率</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860" w:type="dxa"/>
            <w:shd w:val="clear" w:color="auto" w:fill="auto"/>
            <w:vAlign w:val="center"/>
          </w:tcPr>
          <w:p>
            <w:pPr>
              <w:jc w:val="center"/>
              <w:rPr>
                <w:rFonts w:hint="eastAsia" w:ascii="宋体" w:hAnsi="宋体"/>
                <w:sz w:val="16"/>
                <w:szCs w:val="16"/>
              </w:rPr>
            </w:pPr>
            <w:r>
              <w:rPr>
                <w:rFonts w:hint="eastAsia" w:ascii="宋体" w:hAnsi="宋体"/>
                <w:sz w:val="16"/>
                <w:szCs w:val="16"/>
                <w:lang w:eastAsia="zh-CN"/>
              </w:rPr>
              <w:t>2025</w:t>
            </w:r>
            <w:r>
              <w:rPr>
                <w:rFonts w:hint="default" w:ascii="宋体" w:hAnsi="宋体"/>
                <w:sz w:val="16"/>
                <w:szCs w:val="16"/>
              </w:rPr>
              <w:t>年12月15日</w:t>
            </w:r>
          </w:p>
        </w:tc>
        <w:tc>
          <w:tcPr>
            <w:tcW w:w="69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7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生均伙食补助成本</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＜=1450元/生/年</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86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9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7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学前经费成本</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＜=36.83万元</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86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9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17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学前取暖费</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＜=4.49万元</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86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9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17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保障适龄幼儿接受学前免费教育</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不断加强</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860" w:type="dxa"/>
            <w:shd w:val="clear" w:color="auto" w:fill="auto"/>
            <w:vAlign w:val="center"/>
          </w:tcPr>
          <w:p>
            <w:pPr>
              <w:jc w:val="center"/>
              <w:rPr>
                <w:rFonts w:hint="eastAsia" w:ascii="宋体" w:hAnsi="宋体"/>
                <w:sz w:val="16"/>
                <w:szCs w:val="16"/>
              </w:rPr>
            </w:pPr>
            <w:r>
              <w:rPr>
                <w:rFonts w:hint="default" w:ascii="宋体" w:hAnsi="宋体"/>
                <w:sz w:val="16"/>
                <w:szCs w:val="16"/>
              </w:rPr>
              <w:t>不断加强</w:t>
            </w:r>
          </w:p>
        </w:tc>
        <w:tc>
          <w:tcPr>
            <w:tcW w:w="69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17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家长满意度</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86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69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17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86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69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17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220"/>
        <w:gridCol w:w="82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额敏县育才幼儿园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教科文股</w:t>
            </w:r>
            <w:r>
              <w:rPr>
                <w:rFonts w:hint="eastAsia"/>
                <w:sz w:val="18"/>
                <w:szCs w:val="18"/>
                <w:lang w:eastAsia="zh-CN"/>
              </w:rPr>
              <w:t>2026</w:t>
            </w:r>
            <w:r>
              <w:rPr>
                <w:rFonts w:hint="eastAsia"/>
                <w:sz w:val="18"/>
                <w:szCs w:val="18"/>
              </w:rPr>
              <w:t>年单位资金预算额敏县育才幼儿园</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孙惠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900" w:type="dxa"/>
            <w:gridSpan w:val="2"/>
            <w:shd w:val="clear" w:color="auto" w:fill="auto"/>
            <w:vAlign w:val="center"/>
          </w:tcPr>
          <w:p>
            <w:pPr>
              <w:jc w:val="center"/>
              <w:rPr>
                <w:sz w:val="18"/>
                <w:szCs w:val="18"/>
              </w:rPr>
            </w:pPr>
            <w:r>
              <w:rPr>
                <w:rFonts w:hint="eastAsia"/>
                <w:sz w:val="18"/>
                <w:szCs w:val="18"/>
              </w:rPr>
              <w:t>0.51</w:t>
            </w:r>
          </w:p>
        </w:tc>
        <w:tc>
          <w:tcPr>
            <w:tcW w:w="82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深入贯彻新发展理念，加快构建新发展格局，着力推动高质量发展，实现教育行稳致远，社会安定和谐。深入学习习近平新时代中国特色社会主义思想，贯彻党的二十大精神，促进塔城地区额敏县育才幼儿园对宣传贯彻执行党和国家的教育方针、政策和法律法规及上级行政部门的行政规章的顺利宣传，完成相应的学前教育教学工作任务，使额敏县学前教育高质量发展更上新台阶。目标1：预计完成0.50万元教师陪餐费的支出工作。目标2：预计完成利息收入0.01万元的支出工作，保障单位正常运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1220" w:type="dxa"/>
            <w:shd w:val="clear" w:color="auto" w:fill="auto"/>
            <w:vAlign w:val="center"/>
          </w:tcPr>
          <w:p>
            <w:pPr>
              <w:jc w:val="center"/>
              <w:rPr>
                <w:b/>
                <w:sz w:val="18"/>
                <w:szCs w:val="18"/>
              </w:rPr>
            </w:pPr>
            <w:r>
              <w:rPr>
                <w:rFonts w:hint="eastAsia"/>
                <w:b/>
                <w:sz w:val="18"/>
                <w:szCs w:val="18"/>
              </w:rPr>
              <w:t>指标值</w:t>
            </w:r>
          </w:p>
        </w:tc>
        <w:tc>
          <w:tcPr>
            <w:tcW w:w="82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单位资金支出数量</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＞=2笔</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单位资金支出完成率</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单位资金支出及时率</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单位资金支出金额</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＜=0.51万元</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改善学生伙食质量</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推动教育高质量发展</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准有效推进</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有效推进</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220"/>
        <w:gridCol w:w="820"/>
        <w:gridCol w:w="1010"/>
        <w:gridCol w:w="615"/>
        <w:gridCol w:w="1095"/>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额敏县育才幼儿园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705" w:type="dxa"/>
            <w:gridSpan w:val="6"/>
            <w:shd w:val="clear" w:color="auto" w:fill="auto"/>
            <w:vAlign w:val="center"/>
          </w:tcPr>
          <w:p>
            <w:pPr>
              <w:jc w:val="center"/>
              <w:rPr>
                <w:rFonts w:hint="eastAsia"/>
                <w:b/>
                <w:sz w:val="18"/>
                <w:szCs w:val="18"/>
              </w:rPr>
            </w:pPr>
            <w:r>
              <w:rPr>
                <w:rFonts w:hint="eastAsia"/>
                <w:sz w:val="18"/>
                <w:szCs w:val="18"/>
              </w:rPr>
              <w:t>塔地财教</w:t>
            </w:r>
            <w:r>
              <w:rPr>
                <w:rFonts w:hint="eastAsia"/>
                <w:sz w:val="18"/>
                <w:szCs w:val="18"/>
                <w:lang w:eastAsia="zh-CN"/>
              </w:rPr>
              <w:t>〔2025〕78号</w:t>
            </w:r>
            <w:r>
              <w:rPr>
                <w:rFonts w:hint="eastAsia"/>
                <w:sz w:val="18"/>
                <w:szCs w:val="18"/>
              </w:rPr>
              <w:t>提前下达</w:t>
            </w:r>
            <w:r>
              <w:rPr>
                <w:rFonts w:hint="eastAsia"/>
                <w:sz w:val="18"/>
                <w:szCs w:val="18"/>
                <w:lang w:eastAsia="zh-CN"/>
              </w:rPr>
              <w:t>2026</w:t>
            </w:r>
            <w:r>
              <w:rPr>
                <w:rFonts w:hint="eastAsia"/>
                <w:sz w:val="18"/>
                <w:szCs w:val="18"/>
              </w:rPr>
              <w:t>年新疆西藏等地区教育特殊补助资金-农村学前三年免费教育幼儿伙食补助，农村学前三年免费教育保障机制经费</w:t>
            </w:r>
          </w:p>
        </w:tc>
        <w:tc>
          <w:tcPr>
            <w:tcW w:w="1095"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孙惠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900" w:type="dxa"/>
            <w:gridSpan w:val="2"/>
            <w:shd w:val="clear" w:color="auto" w:fill="auto"/>
            <w:vAlign w:val="center"/>
          </w:tcPr>
          <w:p>
            <w:pPr>
              <w:jc w:val="center"/>
              <w:rPr>
                <w:sz w:val="18"/>
                <w:szCs w:val="18"/>
              </w:rPr>
            </w:pPr>
            <w:r>
              <w:rPr>
                <w:rFonts w:hint="eastAsia"/>
                <w:sz w:val="18"/>
                <w:szCs w:val="18"/>
              </w:rPr>
              <w:t>23.86</w:t>
            </w:r>
          </w:p>
        </w:tc>
        <w:tc>
          <w:tcPr>
            <w:tcW w:w="820" w:type="dxa"/>
            <w:shd w:val="clear" w:color="auto" w:fill="auto"/>
            <w:vAlign w:val="center"/>
          </w:tcPr>
          <w:p>
            <w:pPr>
              <w:jc w:val="center"/>
              <w:rPr>
                <w:sz w:val="18"/>
                <w:szCs w:val="18"/>
              </w:rPr>
            </w:pPr>
            <w:r>
              <w:rPr>
                <w:rFonts w:hint="eastAsia"/>
                <w:sz w:val="18"/>
                <w:szCs w:val="18"/>
              </w:rPr>
              <w:t>其中：财政拨款</w:t>
            </w:r>
          </w:p>
        </w:tc>
        <w:tc>
          <w:tcPr>
            <w:tcW w:w="1625" w:type="dxa"/>
            <w:gridSpan w:val="2"/>
            <w:shd w:val="clear" w:color="auto" w:fill="auto"/>
            <w:vAlign w:val="center"/>
          </w:tcPr>
          <w:p>
            <w:pPr>
              <w:jc w:val="center"/>
              <w:rPr>
                <w:sz w:val="18"/>
                <w:szCs w:val="18"/>
              </w:rPr>
            </w:pPr>
            <w:r>
              <w:rPr>
                <w:rFonts w:hint="eastAsia"/>
                <w:sz w:val="18"/>
                <w:szCs w:val="18"/>
              </w:rPr>
              <w:t>23.86</w:t>
            </w:r>
          </w:p>
        </w:tc>
        <w:tc>
          <w:tcPr>
            <w:tcW w:w="1095"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严格执行国库集中支付制度和政府采购制度等规定。资金支付按照国库集中支付制度有关规定和合同约定，综合考虑项目财政资金预算等因素执行，保障适龄幼儿接受学前三年免费教育。全面普及学前三年免费教育，规范学前教育保障机制经费管理，落实幼儿伙食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1220" w:type="dxa"/>
            <w:shd w:val="clear" w:color="auto" w:fill="auto"/>
            <w:vAlign w:val="center"/>
          </w:tcPr>
          <w:p>
            <w:pPr>
              <w:jc w:val="center"/>
              <w:rPr>
                <w:b/>
                <w:sz w:val="18"/>
                <w:szCs w:val="18"/>
              </w:rPr>
            </w:pPr>
            <w:r>
              <w:rPr>
                <w:rFonts w:hint="eastAsia"/>
                <w:b/>
                <w:sz w:val="18"/>
                <w:szCs w:val="18"/>
              </w:rPr>
              <w:t>指标值</w:t>
            </w:r>
          </w:p>
        </w:tc>
        <w:tc>
          <w:tcPr>
            <w:tcW w:w="820" w:type="dxa"/>
            <w:shd w:val="clear" w:color="auto" w:fill="auto"/>
            <w:vAlign w:val="center"/>
          </w:tcPr>
          <w:p>
            <w:pPr>
              <w:jc w:val="center"/>
              <w:rPr>
                <w:b/>
                <w:sz w:val="18"/>
                <w:szCs w:val="18"/>
              </w:rPr>
            </w:pPr>
            <w:r>
              <w:rPr>
                <w:rFonts w:hint="eastAsia"/>
                <w:b/>
                <w:sz w:val="18"/>
                <w:szCs w:val="18"/>
              </w:rPr>
              <w:t>指标值设置依据</w:t>
            </w:r>
          </w:p>
        </w:tc>
        <w:tc>
          <w:tcPr>
            <w:tcW w:w="1010" w:type="dxa"/>
            <w:shd w:val="clear" w:color="auto" w:fill="auto"/>
            <w:vAlign w:val="center"/>
          </w:tcPr>
          <w:p>
            <w:pPr>
              <w:jc w:val="center"/>
              <w:rPr>
                <w:b/>
                <w:sz w:val="18"/>
                <w:szCs w:val="18"/>
              </w:rPr>
            </w:pPr>
            <w:r>
              <w:rPr>
                <w:rFonts w:hint="eastAsia"/>
                <w:b/>
                <w:sz w:val="18"/>
                <w:szCs w:val="18"/>
              </w:rPr>
              <w:t>上年完成值</w:t>
            </w:r>
          </w:p>
        </w:tc>
        <w:tc>
          <w:tcPr>
            <w:tcW w:w="615" w:type="dxa"/>
            <w:shd w:val="clear" w:color="auto" w:fill="auto"/>
            <w:vAlign w:val="center"/>
          </w:tcPr>
          <w:p>
            <w:pPr>
              <w:jc w:val="center"/>
              <w:rPr>
                <w:b/>
                <w:sz w:val="18"/>
                <w:szCs w:val="18"/>
              </w:rPr>
            </w:pPr>
            <w:r>
              <w:rPr>
                <w:rFonts w:hint="eastAsia"/>
                <w:b/>
                <w:sz w:val="18"/>
                <w:szCs w:val="18"/>
              </w:rPr>
              <w:t>指标分值权重</w:t>
            </w:r>
          </w:p>
        </w:tc>
        <w:tc>
          <w:tcPr>
            <w:tcW w:w="1095"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保障农村学前三年适龄幼儿人数</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＞=210人</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10" w:type="dxa"/>
            <w:shd w:val="clear" w:color="auto" w:fill="auto"/>
            <w:vAlign w:val="center"/>
          </w:tcPr>
          <w:p>
            <w:pPr>
              <w:jc w:val="center"/>
              <w:rPr>
                <w:rFonts w:hint="eastAsia" w:ascii="宋体" w:hAnsi="宋体"/>
                <w:sz w:val="16"/>
                <w:szCs w:val="16"/>
              </w:rPr>
            </w:pPr>
            <w:r>
              <w:rPr>
                <w:rFonts w:hint="default" w:ascii="宋体" w:hAnsi="宋体"/>
                <w:sz w:val="16"/>
                <w:szCs w:val="16"/>
              </w:rPr>
              <w:t>210人</w:t>
            </w:r>
          </w:p>
        </w:tc>
        <w:tc>
          <w:tcPr>
            <w:tcW w:w="615"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09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经费支出完成率</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1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15"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09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学前国语教育覆盖率</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1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15"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09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经费支出及时率</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＜=10.5</w:t>
            </w:r>
            <w:r>
              <w:rPr>
                <w:rFonts w:hint="eastAsia" w:ascii="宋体" w:hAnsi="宋体"/>
                <w:sz w:val="16"/>
                <w:szCs w:val="16"/>
                <w:lang w:val="en-US" w:eastAsia="zh-CN"/>
              </w:rPr>
              <w:t>0</w:t>
            </w:r>
            <w:r>
              <w:rPr>
                <w:rFonts w:hint="default" w:ascii="宋体" w:hAnsi="宋体"/>
                <w:sz w:val="16"/>
                <w:szCs w:val="16"/>
              </w:rPr>
              <w:t>万元</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1010" w:type="dxa"/>
            <w:shd w:val="clear" w:color="auto" w:fill="auto"/>
            <w:vAlign w:val="center"/>
          </w:tcPr>
          <w:p>
            <w:pPr>
              <w:jc w:val="center"/>
              <w:rPr>
                <w:rFonts w:hint="eastAsia" w:ascii="宋体" w:hAnsi="宋体"/>
                <w:sz w:val="16"/>
                <w:szCs w:val="16"/>
              </w:rPr>
            </w:pPr>
            <w:r>
              <w:rPr>
                <w:rFonts w:hint="default" w:ascii="宋体" w:hAnsi="宋体"/>
                <w:sz w:val="16"/>
                <w:szCs w:val="16"/>
              </w:rPr>
              <w:t>11.58万元</w:t>
            </w:r>
          </w:p>
        </w:tc>
        <w:tc>
          <w:tcPr>
            <w:tcW w:w="615"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09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保障机制经费</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＜=13.35万元</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1010" w:type="dxa"/>
            <w:shd w:val="clear" w:color="auto" w:fill="auto"/>
            <w:vAlign w:val="center"/>
          </w:tcPr>
          <w:p>
            <w:pPr>
              <w:jc w:val="center"/>
              <w:rPr>
                <w:rFonts w:hint="eastAsia" w:ascii="宋体" w:hAnsi="宋体"/>
                <w:sz w:val="16"/>
                <w:szCs w:val="16"/>
              </w:rPr>
            </w:pPr>
            <w:r>
              <w:rPr>
                <w:rFonts w:hint="default" w:ascii="宋体" w:hAnsi="宋体"/>
                <w:sz w:val="16"/>
                <w:szCs w:val="16"/>
              </w:rPr>
              <w:t>9.3</w:t>
            </w:r>
            <w:r>
              <w:rPr>
                <w:rFonts w:hint="eastAsia" w:ascii="宋体" w:hAnsi="宋体"/>
                <w:sz w:val="16"/>
                <w:szCs w:val="16"/>
                <w:lang w:val="en-US" w:eastAsia="zh-CN"/>
              </w:rPr>
              <w:t>0</w:t>
            </w:r>
            <w:r>
              <w:rPr>
                <w:rFonts w:hint="default" w:ascii="宋体" w:hAnsi="宋体"/>
                <w:sz w:val="16"/>
                <w:szCs w:val="16"/>
              </w:rPr>
              <w:t>万元</w:t>
            </w:r>
          </w:p>
        </w:tc>
        <w:tc>
          <w:tcPr>
            <w:tcW w:w="615"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09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改善学生学习环境</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显著改善</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10" w:type="dxa"/>
            <w:shd w:val="clear" w:color="auto" w:fill="auto"/>
            <w:vAlign w:val="center"/>
          </w:tcPr>
          <w:p>
            <w:pPr>
              <w:jc w:val="center"/>
              <w:rPr>
                <w:rFonts w:hint="eastAsia" w:ascii="宋体" w:hAnsi="宋体"/>
                <w:sz w:val="16"/>
                <w:szCs w:val="16"/>
              </w:rPr>
            </w:pPr>
            <w:r>
              <w:rPr>
                <w:rFonts w:hint="default" w:ascii="宋体" w:hAnsi="宋体"/>
                <w:sz w:val="16"/>
                <w:szCs w:val="16"/>
              </w:rPr>
              <w:t>显著改善</w:t>
            </w:r>
          </w:p>
        </w:tc>
        <w:tc>
          <w:tcPr>
            <w:tcW w:w="615"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095"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提高教师教学素质</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显著改善</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10" w:type="dxa"/>
            <w:shd w:val="clear" w:color="auto" w:fill="auto"/>
            <w:vAlign w:val="center"/>
          </w:tcPr>
          <w:p>
            <w:pPr>
              <w:jc w:val="center"/>
              <w:rPr>
                <w:rFonts w:hint="eastAsia" w:ascii="宋体" w:hAnsi="宋体"/>
                <w:sz w:val="16"/>
                <w:szCs w:val="16"/>
              </w:rPr>
            </w:pPr>
            <w:r>
              <w:rPr>
                <w:rFonts w:hint="default" w:ascii="宋体" w:hAnsi="宋体"/>
                <w:sz w:val="16"/>
                <w:szCs w:val="16"/>
              </w:rPr>
              <w:t>显著改善</w:t>
            </w:r>
          </w:p>
        </w:tc>
        <w:tc>
          <w:tcPr>
            <w:tcW w:w="615"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095"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家长满意度</w:t>
            </w:r>
          </w:p>
        </w:tc>
        <w:tc>
          <w:tcPr>
            <w:tcW w:w="122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82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1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615"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095"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本部门无其他需说明事项。</w:t>
      </w:r>
      <w:r>
        <w:rPr>
          <w:rFonts w:hint="eastAsia" w:ascii="仿宋" w:hAnsi="微软雅黑" w:eastAsia="仿宋"/>
          <w:sz w:val="28"/>
          <w:szCs w:val="28"/>
          <w:lang w:val="en-US" w:eastAsia="zh-CN"/>
        </w:rPr>
        <w:t xml:space="preserve"> </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部门支出预算的组成部分，是各部门为完成其特定的行政任务或事业发展目标，在基本支出预算之外编制的年度项目支出计划。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额敏县育才幼儿园</w:t>
      </w:r>
    </w:p>
    <w:p>
      <w:pPr>
        <w:spacing w:line="560" w:lineRule="exact"/>
        <w:jc w:val="right"/>
        <w:rPr>
          <w:rFonts w:hint="default"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r>
        <w:rPr>
          <w:rFonts w:hint="eastAsia" w:ascii="仿宋" w:hAnsi="CIDFont+F6" w:eastAsia="仿宋"/>
          <w:color w:val="000000"/>
          <w:sz w:val="28"/>
          <w:szCs w:val="28"/>
        </w:rPr>
        <w:t>日</w:t>
      </w:r>
    </w:p>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919C0F"/>
    <w:multiLevelType w:val="multilevel"/>
    <w:tmpl w:val="8C919C0F"/>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ECF246FB"/>
    <w:multiLevelType w:val="multilevel"/>
    <w:tmpl w:val="ECF246FB"/>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CD4919E"/>
    <w:multiLevelType w:val="multilevel"/>
    <w:tmpl w:val="6CD4919E"/>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6E2DEC"/>
    <w:rsid w:val="023E1C22"/>
    <w:rsid w:val="046E2DEC"/>
    <w:rsid w:val="052D3C88"/>
    <w:rsid w:val="1034041F"/>
    <w:rsid w:val="11623269"/>
    <w:rsid w:val="11EE74D7"/>
    <w:rsid w:val="160226AF"/>
    <w:rsid w:val="1BAD360D"/>
    <w:rsid w:val="27F72731"/>
    <w:rsid w:val="34CB7827"/>
    <w:rsid w:val="38462ACC"/>
    <w:rsid w:val="63114419"/>
    <w:rsid w:val="63B7461F"/>
    <w:rsid w:val="6DB35B77"/>
    <w:rsid w:val="6EF47492"/>
    <w:rsid w:val="6F434908"/>
    <w:rsid w:val="7B756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customStyle="1"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1897</Words>
  <Characters>2467</Characters>
  <Lines>0</Lines>
  <Paragraphs>0</Paragraphs>
  <TotalTime>6</TotalTime>
  <ScaleCrop>false</ScaleCrop>
  <LinksUpToDate>false</LinksUpToDate>
  <CharactersWithSpaces>2650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2025-04-16T10:07:00Z</dcterms:created>
  <dc:creator>蚁娜</dc:creator>
  <cp:lastModifiedBy>Administrator</cp:lastModifiedBy>
  <dcterms:modified xsi:type="dcterms:W3CDTF">2026-02-14T05:20:26Z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A257511D674941E2B0D53D779E0B6A56_11</vt:lpwstr>
  </property>
  <property fmtid="{D5CDD505-2E9C-101B-9397-08002B2CF9AE}" pid="4" name="KSOTemplateDocerSaveRecord">
    <vt:lpwstr>eyJoZGlkIjoiNzFhZDliZTU1NDgyZjE5Mjk4NDYyZGU3MGE0MGU3MDMiLCJ1c2VySWQiOiI0MDc4MjI4MzYifQ==</vt:lpwstr>
  </property>
</Properties>
</file>