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bookmarkStart w:id="0" w:name="_GoBack"/>
      <w:bookmarkEnd w:id="0"/>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额敏县科学技术协会</w:t>
      </w:r>
    </w:p>
    <w:p>
      <w:pPr>
        <w:jc w:val="center"/>
        <w:rPr>
          <w:rFonts w:hint="eastAsia" w:ascii="黑体" w:hAnsi="ArialUnicodeMS" w:eastAsia="黑体"/>
          <w:color w:val="000000"/>
          <w:sz w:val="44"/>
          <w:szCs w:val="44"/>
          <w:lang w:val="en-US" w:eastAsia="zh-CN"/>
        </w:rPr>
      </w:pPr>
      <w:r>
        <w:rPr>
          <w:rFonts w:hint="eastAsia" w:ascii="黑体" w:hAnsi="ArialUnicodeMS" w:eastAsia="黑体"/>
          <w:color w:val="000000"/>
          <w:sz w:val="44"/>
          <w:szCs w:val="44"/>
          <w:lang w:val="en-US" w:eastAsia="zh-CN"/>
        </w:rPr>
        <w:t xml:space="preserve"> </w:t>
      </w: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lang w:eastAsia="zh-CN"/>
        </w:rPr>
        <w:t>2026</w:t>
      </w:r>
      <w:r>
        <w:rPr>
          <w:rFonts w:hint="eastAsia" w:ascii="黑体" w:hAnsi="ArialUnicodeMS" w:eastAsia="黑体"/>
          <w:color w:val="000000"/>
          <w:sz w:val="44"/>
          <w:szCs w:val="44"/>
        </w:rPr>
        <w:t>年部门预算公开</w:t>
      </w:r>
    </w:p>
    <w:p>
      <w:pPr>
        <w:jc w:val="center"/>
        <w:rPr>
          <w:rFonts w:hint="eastAsia" w:ascii="黑体" w:hAnsi="ArialUnicodeMS" w:eastAsia="黑体"/>
          <w:color w:val="000000"/>
          <w:sz w:val="44"/>
          <w:szCs w:val="44"/>
        </w:rPr>
      </w:pPr>
    </w:p>
    <w:p>
      <w:pPr>
        <w:jc w:val="center"/>
        <w:rPr>
          <w:rFonts w:hint="eastAsia" w:ascii="ArialUnicodeMS" w:hAnsi="ArialUnicodeMS"/>
          <w:color w:val="000000"/>
          <w:sz w:val="44"/>
          <w:szCs w:val="44"/>
        </w:rPr>
      </w:pPr>
    </w:p>
    <w:p>
      <w:pPr>
        <w:jc w:val="center"/>
        <w:rPr>
          <w:rFonts w:hint="eastAsia" w:ascii="ArialUnicodeMS" w:hAnsi="ArialUnicodeMS"/>
          <w:color w:val="000000"/>
          <w:sz w:val="44"/>
          <w:szCs w:val="44"/>
        </w:rPr>
      </w:pPr>
    </w:p>
    <w:p>
      <w:pPr>
        <w:jc w:val="center"/>
        <w:rPr>
          <w:rFonts w:hint="eastAsia" w:ascii="ArialUnicodeMS" w:hAnsi="ArialUnicodeMS"/>
          <w:color w:val="000000"/>
          <w:sz w:val="44"/>
          <w:szCs w:val="44"/>
        </w:rPr>
      </w:pPr>
    </w:p>
    <w:p>
      <w:pPr>
        <w:jc w:val="center"/>
        <w:rPr>
          <w:rFonts w:hint="eastAsia" w:ascii="ArialUnicodeMS" w:hAnsi="ArialUnicodeMS"/>
          <w:color w:val="000000"/>
          <w:sz w:val="44"/>
          <w:szCs w:val="44"/>
        </w:rPr>
      </w:pPr>
    </w:p>
    <w:p>
      <w:pPr>
        <w:jc w:val="center"/>
        <w:rPr>
          <w:rFonts w:hint="eastAsia" w:ascii="ArialUnicodeMS" w:hAnsi="ArialUnicodeMS"/>
          <w:color w:val="000000"/>
          <w:sz w:val="44"/>
          <w:szCs w:val="44"/>
        </w:rPr>
      </w:pPr>
    </w:p>
    <w:p>
      <w:pPr>
        <w:jc w:val="center"/>
        <w:rPr>
          <w:rFonts w:hint="eastAsia" w:ascii="ArialUnicodeMS" w:hAnsi="ArialUnicodeMS"/>
          <w:color w:val="000000"/>
          <w:sz w:val="44"/>
          <w:szCs w:val="44"/>
        </w:rPr>
      </w:pPr>
    </w:p>
    <w:p>
      <w:pPr>
        <w:jc w:val="center"/>
        <w:rPr>
          <w:rFonts w:hint="eastAsia" w:ascii="ArialUnicodeMS" w:hAnsi="ArialUnicodeMS"/>
          <w:color w:val="000000"/>
          <w:sz w:val="44"/>
          <w:szCs w:val="44"/>
        </w:rPr>
      </w:pPr>
    </w:p>
    <w:p>
      <w:pPr>
        <w:jc w:val="center"/>
        <w:rPr>
          <w:rFonts w:hint="eastAsia" w:ascii="ArialUnicodeMS" w:hAnsi="ArialUnicodeMS"/>
          <w:color w:val="000000"/>
          <w:sz w:val="44"/>
          <w:szCs w:val="44"/>
        </w:rPr>
      </w:pPr>
    </w:p>
    <w:p>
      <w:pPr>
        <w:jc w:val="center"/>
        <w:rPr>
          <w:rFonts w:hint="eastAsia" w:ascii="ArialUnicodeMS" w:hAnsi="ArialUnicodeMS"/>
          <w:color w:val="000000"/>
          <w:sz w:val="44"/>
          <w:szCs w:val="44"/>
        </w:rPr>
      </w:pPr>
    </w:p>
    <w:p>
      <w:pPr>
        <w:jc w:val="center"/>
        <w:rPr>
          <w:rFonts w:hint="eastAsia" w:ascii="ArialUnicodeMS" w:hAnsi="ArialUnicodeMS"/>
          <w:color w:val="000000"/>
          <w:sz w:val="44"/>
          <w:szCs w:val="44"/>
        </w:rPr>
      </w:pPr>
    </w:p>
    <w:p>
      <w:pPr>
        <w:jc w:val="center"/>
        <w:rPr>
          <w:rFonts w:hint="eastAsia" w:ascii="ArialUnicodeMS" w:hAnsi="ArialUnicodeMS"/>
          <w:color w:val="000000"/>
          <w:sz w:val="44"/>
          <w:szCs w:val="44"/>
        </w:rPr>
      </w:pPr>
    </w:p>
    <w:p>
      <w:pPr>
        <w:jc w:val="center"/>
        <w:rPr>
          <w:rFonts w:hint="eastAsia" w:ascii="ArialUnicodeMS" w:hAnsi="ArialUnicodeMS"/>
          <w:color w:val="000000"/>
          <w:sz w:val="44"/>
          <w:szCs w:val="44"/>
        </w:rPr>
      </w:pPr>
    </w:p>
    <w:p>
      <w:pPr>
        <w:jc w:val="center"/>
        <w:rPr>
          <w:rFonts w:hint="eastAsia" w:ascii="ArialUnicodeMS" w:hAnsi="ArialUnicodeMS"/>
          <w:color w:val="000000"/>
          <w:sz w:val="44"/>
          <w:szCs w:val="44"/>
        </w:rPr>
      </w:pPr>
    </w:p>
    <w:p>
      <w:pPr>
        <w:jc w:val="center"/>
        <w:rPr>
          <w:rFonts w:hint="eastAsia" w:ascii="ArialUnicodeMS" w:hAnsi="ArialUnicodeMS"/>
          <w:color w:val="000000"/>
          <w:sz w:val="44"/>
          <w:szCs w:val="44"/>
        </w:rPr>
      </w:pPr>
    </w:p>
    <w:p>
      <w:pPr>
        <w:jc w:val="center"/>
        <w:rPr>
          <w:rFonts w:hint="eastAsia" w:ascii="ArialUnicodeMS" w:hAnsi="ArialUnicodeMS"/>
          <w:color w:val="000000"/>
          <w:sz w:val="44"/>
          <w:szCs w:val="44"/>
        </w:rPr>
      </w:pPr>
      <w:r>
        <w:rPr>
          <w:rFonts w:hint="eastAsia" w:ascii="ArialUnicodeMS" w:hAnsi="ArialUnicodeMS"/>
          <w:color w:val="000000"/>
          <w:sz w:val="44"/>
          <w:szCs w:val="44"/>
        </w:rPr>
        <w:br w:type="page"/>
      </w:r>
    </w:p>
    <w:p>
      <w:pPr>
        <w:jc w:val="center"/>
        <w:rPr>
          <w:rFonts w:hint="eastAsia" w:ascii="ArialUnicodeMS" w:hAnsi="ArialUnicodeMS"/>
          <w:color w:val="000000"/>
          <w:sz w:val="44"/>
          <w:szCs w:val="44"/>
        </w:rPr>
      </w:pPr>
    </w:p>
    <w:p>
      <w:pPr>
        <w:jc w:val="center"/>
        <w:rPr>
          <w:rFonts w:ascii="黑体" w:eastAsia="黑体"/>
          <w:color w:val="000000"/>
          <w:sz w:val="36"/>
          <w:szCs w:val="36"/>
        </w:rPr>
      </w:pPr>
      <w:r>
        <w:rPr>
          <w:rFonts w:hint="eastAsia" w:ascii="黑体" w:eastAsia="黑体"/>
          <w:color w:val="000000"/>
          <w:sz w:val="36"/>
          <w:szCs w:val="36"/>
        </w:rPr>
        <w:t>目 录</w:t>
      </w:r>
    </w:p>
    <w:p>
      <w:pPr>
        <w:spacing w:line="560" w:lineRule="exact"/>
        <w:jc w:val="center"/>
        <w:rPr>
          <w:rFonts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第一部分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第二部分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第三部分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关于额敏县科学技术协会</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关于额敏县科学技术协会</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关于额敏县科学技术协会</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关于额敏县科学技术协会</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关于额敏县科学技术协会</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关于额敏县科学技术协会</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关于额敏县科学技术协会</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关于额敏县科学技术协会</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关于额敏县科学技术协会</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关于额敏县科学技术协会</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关于额敏县科学技术协会</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ascii="宋体" w:hAnsi="宋体"/>
          <w:color w:val="000000"/>
          <w:sz w:val="18"/>
          <w:szCs w:val="18"/>
        </w:rPr>
      </w:pPr>
    </w:p>
    <w:p>
      <w:pPr>
        <w:pStyle w:val="2"/>
        <w:spacing w:before="156" w:beforeLines="50" w:after="156" w:afterLines="50" w:line="560" w:lineRule="exact"/>
        <w:jc w:val="center"/>
        <w:rPr>
          <w:rFonts w:ascii="黑体" w:eastAsia="黑体"/>
          <w:sz w:val="30"/>
          <w:szCs w:val="30"/>
        </w:rPr>
      </w:pPr>
      <w:r>
        <w:rPr>
          <w:rFonts w:ascii="黑体" w:eastAsia="黑体"/>
          <w:sz w:val="30"/>
          <w:szCs w:val="30"/>
        </w:rPr>
        <w:br w:type="page"/>
      </w:r>
      <w:r>
        <w:rPr>
          <w:rFonts w:hint="eastAsia" w:ascii="黑体" w:eastAsia="黑体"/>
          <w:sz w:val="30"/>
          <w:szCs w:val="30"/>
        </w:rPr>
        <w:t xml:space="preserve">第一部分  </w:t>
      </w:r>
      <w:r>
        <w:rPr>
          <w:rFonts w:hint="eastAsia" w:ascii="黑体" w:eastAsia="黑体"/>
          <w:sz w:val="30"/>
          <w:szCs w:val="30"/>
          <w:lang w:eastAsia="zh-CN"/>
        </w:rPr>
        <w:t>2026</w:t>
      </w:r>
      <w:r>
        <w:rPr>
          <w:rFonts w:hint="eastAsia" w:ascii="黑体" w:eastAsia="黑体"/>
          <w:sz w:val="30"/>
          <w:szCs w:val="30"/>
        </w:rPr>
        <w:t>年部门概况</w:t>
      </w:r>
    </w:p>
    <w:p>
      <w:pPr>
        <w:pStyle w:val="3"/>
        <w:numPr>
          <w:ilvl w:val="0"/>
          <w:numId w:val="1"/>
        </w:numPr>
        <w:spacing w:before="0" w:after="0" w:line="560" w:lineRule="exact"/>
        <w:ind w:left="0" w:firstLine="565" w:firstLineChars="201"/>
        <w:rPr>
          <w:rFonts w:ascii="仿宋" w:hAnsi="华文楷体" w:eastAsia="仿宋"/>
          <w:sz w:val="28"/>
          <w:szCs w:val="28"/>
        </w:rPr>
      </w:pPr>
      <w:r>
        <w:rPr>
          <w:rFonts w:hint="eastAsia" w:ascii="仿宋" w:hAnsi="华文楷体" w:eastAsia="仿宋"/>
          <w:sz w:val="28"/>
          <w:szCs w:val="28"/>
        </w:rPr>
        <w:t>主要职能</w:t>
      </w:r>
    </w:p>
    <w:p>
      <w:pPr>
        <w:pStyle w:val="8"/>
        <w:spacing w:line="560" w:lineRule="exact"/>
        <w:ind w:firstLine="560"/>
        <w:rPr>
          <w:rFonts w:hint="eastAsia" w:ascii="仿宋" w:hAnsi="仿宋" w:eastAsia="仿宋"/>
          <w:color w:val="000000"/>
          <w:sz w:val="28"/>
          <w:szCs w:val="28"/>
          <w:lang w:val="en-US" w:eastAsia="zh-CN"/>
        </w:rPr>
      </w:pPr>
      <w:r>
        <w:rPr>
          <w:rFonts w:hint="eastAsia" w:ascii="仿宋" w:hAnsi="仿宋" w:eastAsia="仿宋"/>
          <w:color w:val="000000"/>
          <w:sz w:val="28"/>
          <w:szCs w:val="28"/>
        </w:rPr>
        <w:t>弘扬科学精神，普及科学知识，传播科学思想和科学方法；捍卫科学尊严，推广先进技术，提高全民科学素质；开展青少年科学技术教育活动，激发青少年科学兴趣；反映科学技术工作者的意见和要求，维护科学技术工作者的合法权益，积极开展科技工作者之家建设；表彰奖励优秀科学技术工作者，举荐人才,开展科普培训工作；开展科技咨询服务，提出政策建议，促进科学技</w:t>
      </w:r>
      <w:r>
        <w:rPr>
          <w:rFonts w:hint="eastAsia" w:ascii="仿宋" w:hAnsi="仿宋" w:eastAsia="仿宋"/>
          <w:color w:val="000000"/>
          <w:sz w:val="28"/>
          <w:szCs w:val="28"/>
          <w:lang w:eastAsia="zh-CN"/>
        </w:rPr>
        <w:t>术成</w:t>
      </w:r>
      <w:r>
        <w:rPr>
          <w:rFonts w:hint="eastAsia" w:ascii="仿宋" w:hAnsi="仿宋" w:eastAsia="仿宋"/>
          <w:color w:val="000000"/>
          <w:sz w:val="28"/>
          <w:szCs w:val="28"/>
        </w:rPr>
        <w:t>果转化与应用；团结社会各界人士，努力提高公众对邪教组织的警惕性、鉴别力和防范能</w:t>
      </w:r>
      <w:r>
        <w:rPr>
          <w:rFonts w:hint="eastAsia" w:ascii="仿宋" w:hAnsi="仿宋" w:eastAsia="仿宋"/>
          <w:color w:val="000000"/>
          <w:sz w:val="28"/>
          <w:szCs w:val="28"/>
          <w:lang w:val="en-US" w:eastAsia="zh-CN"/>
        </w:rPr>
        <w:t>力。</w:t>
      </w:r>
    </w:p>
    <w:p>
      <w:pPr>
        <w:pStyle w:val="3"/>
        <w:numPr>
          <w:ilvl w:val="0"/>
          <w:numId w:val="1"/>
        </w:numPr>
        <w:spacing w:before="0" w:after="0" w:line="560" w:lineRule="exact"/>
        <w:ind w:left="0" w:firstLine="565" w:firstLineChars="201"/>
        <w:rPr>
          <w:rFonts w:ascii="仿宋" w:hAnsi="华文楷体" w:eastAsia="仿宋"/>
          <w:sz w:val="28"/>
          <w:szCs w:val="28"/>
        </w:rPr>
      </w:pPr>
      <w:r>
        <w:rPr>
          <w:rFonts w:hint="eastAsia" w:ascii="仿宋" w:hAnsi="华文楷体" w:eastAsia="仿宋"/>
          <w:sz w:val="28"/>
          <w:szCs w:val="28"/>
        </w:rPr>
        <w:t>机构设置及人员情况</w:t>
      </w:r>
    </w:p>
    <w:p>
      <w:pPr>
        <w:pStyle w:val="8"/>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额敏县科学技术协会无下属预算单位，下设1个科室，分别是：额敏县科学技术协会办公室。</w:t>
      </w:r>
    </w:p>
    <w:p>
      <w:pPr>
        <w:pStyle w:val="8"/>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额敏县科学技术协会编制数6，实有人数9人，其中：在职4人，</w:t>
      </w:r>
      <w:r>
        <w:rPr>
          <w:rFonts w:hint="eastAsia" w:ascii="仿宋" w:hAnsi="仿宋" w:eastAsia="仿宋"/>
          <w:color w:val="000000"/>
          <w:sz w:val="28"/>
          <w:szCs w:val="28"/>
          <w:lang w:eastAsia="zh-CN"/>
        </w:rPr>
        <w:t>减少</w:t>
      </w:r>
      <w:r>
        <w:rPr>
          <w:rFonts w:hint="eastAsia" w:ascii="仿宋" w:hAnsi="仿宋" w:eastAsia="仿宋"/>
          <w:color w:val="000000"/>
          <w:sz w:val="28"/>
          <w:szCs w:val="28"/>
          <w:lang w:val="en-US" w:eastAsia="zh-CN"/>
        </w:rPr>
        <w:t>1</w:t>
      </w:r>
      <w:r>
        <w:rPr>
          <w:rFonts w:hint="eastAsia" w:ascii="仿宋" w:hAnsi="仿宋" w:eastAsia="仿宋"/>
          <w:color w:val="000000"/>
          <w:sz w:val="28"/>
          <w:szCs w:val="28"/>
        </w:rPr>
        <w:t>人；退休5人，增加1人；离休0人，增加0人。</w:t>
      </w:r>
    </w:p>
    <w:p>
      <w:pPr>
        <w:pStyle w:val="2"/>
        <w:spacing w:before="156" w:beforeLines="50" w:after="156" w:afterLines="50" w:line="400" w:lineRule="exact"/>
        <w:jc w:val="center"/>
        <w:rPr>
          <w:rFonts w:hint="eastAsia" w:ascii="仿宋" w:hAnsi="仿宋" w:eastAsia="仿宋"/>
          <w:color w:val="000000"/>
          <w:sz w:val="28"/>
          <w:szCs w:val="28"/>
        </w:rPr>
      </w:pPr>
    </w:p>
    <w:p>
      <w:pPr>
        <w:pStyle w:val="2"/>
        <w:spacing w:before="156" w:beforeLines="50" w:after="156" w:afterLines="50" w:line="400" w:lineRule="exact"/>
        <w:jc w:val="center"/>
        <w:rPr>
          <w:rFonts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 xml:space="preserve">第二部分 </w:t>
      </w:r>
      <w:r>
        <w:rPr>
          <w:rFonts w:hint="eastAsia" w:ascii="黑体" w:eastAsia="黑体"/>
          <w:sz w:val="30"/>
          <w:szCs w:val="30"/>
          <w:lang w:eastAsia="zh-CN"/>
        </w:rPr>
        <w:t>2026</w:t>
      </w:r>
      <w:r>
        <w:rPr>
          <w:rFonts w:hint="eastAsia" w:ascii="黑体" w:eastAsia="黑体"/>
          <w:sz w:val="30"/>
          <w:szCs w:val="30"/>
        </w:rPr>
        <w:t>年部门预算公开表</w:t>
      </w:r>
    </w:p>
    <w:p>
      <w:pPr>
        <w:jc w:val="left"/>
        <w:rPr>
          <w:rFonts w:ascii="宋体" w:hAnsi="宋体"/>
          <w:color w:val="000000"/>
          <w:sz w:val="18"/>
          <w:szCs w:val="18"/>
        </w:rPr>
      </w:pPr>
      <w:r>
        <w:rPr>
          <w:rFonts w:hint="eastAsia" w:ascii="宋体" w:hAnsi="宋体"/>
          <w:color w:val="000000"/>
          <w:sz w:val="18"/>
          <w:szCs w:val="18"/>
        </w:rPr>
        <w:t>表1</w:t>
      </w:r>
    </w:p>
    <w:p>
      <w:pPr>
        <w:jc w:val="center"/>
        <w:rPr>
          <w:rFonts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6"/>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ascii="宋体" w:hAnsi="宋体"/>
                <w:color w:val="000000"/>
                <w:sz w:val="18"/>
                <w:szCs w:val="18"/>
              </w:rPr>
            </w:pPr>
            <w:r>
              <w:rPr>
                <w:rFonts w:hint="eastAsia"/>
                <w:color w:val="000000"/>
                <w:sz w:val="18"/>
                <w:szCs w:val="18"/>
              </w:rPr>
              <w:t>编制部门：额敏县科学技术协会</w:t>
            </w:r>
          </w:p>
        </w:tc>
        <w:tc>
          <w:tcPr>
            <w:tcW w:w="1150" w:type="dxa"/>
            <w:tcBorders>
              <w:top w:val="nil"/>
              <w:left w:val="nil"/>
              <w:bottom w:val="single" w:color="auto" w:sz="4" w:space="0"/>
              <w:right w:val="nil"/>
            </w:tcBorders>
            <w:shd w:val="clear" w:color="auto" w:fill="auto"/>
          </w:tcPr>
          <w:p>
            <w:pPr>
              <w:jc w:val="right"/>
              <w:rPr>
                <w:rFonts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80.19</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80.19</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80.19</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57.20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tcPr>
          <w:p>
            <w:pPr>
              <w:rPr>
                <w:rFonts w:ascii="宋体" w:hAnsi="宋体" w:cs="宋体"/>
                <w:color w:val="000000"/>
                <w:sz w:val="18"/>
                <w:szCs w:val="18"/>
              </w:rPr>
            </w:pP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80.19</w:t>
            </w:r>
          </w:p>
        </w:tc>
        <w:tc>
          <w:tcPr>
            <w:tcW w:w="3600" w:type="dxa"/>
            <w:shd w:val="clear" w:color="auto" w:fill="auto"/>
          </w:tcPr>
          <w:p>
            <w:pPr>
              <w:jc w:val="center"/>
              <w:rPr>
                <w:rFonts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80.19</w:t>
            </w:r>
          </w:p>
        </w:tc>
      </w:tr>
    </w:tbl>
    <w:p>
      <w:pPr>
        <w:widowControl/>
        <w:jc w:val="left"/>
        <w:rPr>
          <w:rFonts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表2</w:t>
      </w:r>
    </w:p>
    <w:p>
      <w:pPr>
        <w:jc w:val="center"/>
        <w:rPr>
          <w:rFonts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6"/>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pPr>
              <w:jc w:val="left"/>
              <w:rPr>
                <w:rFonts w:ascii="宋体" w:hAnsi="宋体"/>
                <w:sz w:val="18"/>
                <w:szCs w:val="18"/>
              </w:rPr>
            </w:pPr>
            <w:r>
              <w:rPr>
                <w:rFonts w:hint="eastAsia"/>
                <w:color w:val="000000"/>
                <w:sz w:val="18"/>
                <w:szCs w:val="18"/>
              </w:rPr>
              <w:t>编制部门：额敏县科学技术协会</w:t>
            </w:r>
          </w:p>
        </w:tc>
        <w:tc>
          <w:tcPr>
            <w:tcW w:w="6420" w:type="dxa"/>
            <w:gridSpan w:val="7"/>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shd w:val="clear" w:color="auto" w:fill="auto"/>
            <w:vAlign w:val="center"/>
          </w:tcPr>
          <w:p>
            <w:pPr>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pPr>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pPr>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pPr>
              <w:jc w:val="center"/>
              <w:rPr>
                <w:rFonts w:ascii="宋体" w:hAnsi="宋体"/>
                <w:sz w:val="18"/>
                <w:szCs w:val="18"/>
              </w:rPr>
            </w:pPr>
          </w:p>
        </w:tc>
        <w:tc>
          <w:tcPr>
            <w:tcW w:w="1070" w:type="dxa"/>
            <w:vMerge w:val="continue"/>
            <w:shd w:val="clear" w:color="auto" w:fill="auto"/>
            <w:vAlign w:val="center"/>
          </w:tcPr>
          <w:p>
            <w:pPr>
              <w:jc w:val="center"/>
              <w:rPr>
                <w:rFonts w:ascii="宋体" w:hAnsi="宋体"/>
                <w:sz w:val="18"/>
                <w:szCs w:val="18"/>
              </w:rPr>
            </w:pPr>
          </w:p>
        </w:tc>
        <w:tc>
          <w:tcPr>
            <w:tcW w:w="1128"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pPr>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pPr>
              <w:jc w:val="center"/>
              <w:rPr>
                <w:rFonts w:ascii="宋体" w:hAnsi="宋体"/>
                <w:sz w:val="18"/>
                <w:szCs w:val="18"/>
              </w:rPr>
            </w:pPr>
          </w:p>
        </w:tc>
        <w:tc>
          <w:tcPr>
            <w:tcW w:w="876" w:type="dxa"/>
            <w:vMerge w:val="continue"/>
          </w:tcPr>
          <w:p>
            <w:pPr>
              <w:jc w:val="center"/>
              <w:rPr>
                <w:rFonts w:ascii="宋体" w:hAnsi="宋体"/>
                <w:sz w:val="18"/>
                <w:szCs w:val="18"/>
              </w:rPr>
            </w:pPr>
          </w:p>
        </w:tc>
        <w:tc>
          <w:tcPr>
            <w:tcW w:w="876" w:type="dxa"/>
            <w:vMerge w:val="continue"/>
          </w:tcPr>
          <w:p>
            <w:pPr>
              <w:jc w:val="center"/>
              <w:rPr>
                <w:rFonts w:ascii="宋体" w:hAnsi="宋体"/>
                <w:sz w:val="18"/>
                <w:szCs w:val="18"/>
              </w:rPr>
            </w:pPr>
          </w:p>
        </w:tc>
        <w:tc>
          <w:tcPr>
            <w:tcW w:w="876" w:type="dxa"/>
            <w:vMerge w:val="continue"/>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pPr>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pPr>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pPr>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pPr>
              <w:jc w:val="center"/>
              <w:rPr>
                <w:rFonts w:ascii="宋体" w:hAnsi="宋体"/>
                <w:sz w:val="18"/>
                <w:szCs w:val="18"/>
              </w:rPr>
            </w:pPr>
            <w:r>
              <w:rPr>
                <w:rFonts w:hint="eastAsia" w:ascii="宋体" w:hAnsi="宋体"/>
                <w:sz w:val="18"/>
                <w:szCs w:val="18"/>
              </w:rPr>
              <w:t>4</w:t>
            </w:r>
          </w:p>
        </w:tc>
        <w:tc>
          <w:tcPr>
            <w:tcW w:w="328" w:type="dxa"/>
          </w:tcPr>
          <w:p>
            <w:pPr>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pPr>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pPr>
              <w:jc w:val="center"/>
              <w:rPr>
                <w:rFonts w:ascii="宋体" w:hAnsi="宋体"/>
                <w:sz w:val="18"/>
                <w:szCs w:val="18"/>
              </w:rPr>
            </w:pPr>
            <w:r>
              <w:rPr>
                <w:rFonts w:hint="eastAsia" w:ascii="宋体" w:hAnsi="宋体"/>
                <w:sz w:val="18"/>
                <w:szCs w:val="18"/>
              </w:rPr>
              <w:t>7</w:t>
            </w:r>
          </w:p>
        </w:tc>
        <w:tc>
          <w:tcPr>
            <w:tcW w:w="918" w:type="dxa"/>
          </w:tcPr>
          <w:p>
            <w:pPr>
              <w:jc w:val="center"/>
              <w:rPr>
                <w:rFonts w:ascii="宋体" w:hAnsi="宋体"/>
                <w:sz w:val="18"/>
                <w:szCs w:val="18"/>
              </w:rPr>
            </w:pPr>
            <w:r>
              <w:rPr>
                <w:rFonts w:hint="eastAsia" w:ascii="宋体" w:hAnsi="宋体"/>
                <w:sz w:val="18"/>
                <w:szCs w:val="18"/>
              </w:rPr>
              <w:t>8</w:t>
            </w:r>
          </w:p>
        </w:tc>
        <w:tc>
          <w:tcPr>
            <w:tcW w:w="876" w:type="dxa"/>
          </w:tcPr>
          <w:p>
            <w:pPr>
              <w:jc w:val="center"/>
              <w:rPr>
                <w:rFonts w:ascii="宋体" w:hAnsi="宋体"/>
                <w:sz w:val="18"/>
                <w:szCs w:val="18"/>
              </w:rPr>
            </w:pPr>
            <w:r>
              <w:rPr>
                <w:rFonts w:hint="eastAsia" w:ascii="宋体" w:hAnsi="宋体"/>
                <w:sz w:val="18"/>
                <w:szCs w:val="18"/>
              </w:rPr>
              <w:t>9</w:t>
            </w:r>
          </w:p>
        </w:tc>
        <w:tc>
          <w:tcPr>
            <w:tcW w:w="876" w:type="dxa"/>
          </w:tcPr>
          <w:p>
            <w:pPr>
              <w:jc w:val="center"/>
              <w:rPr>
                <w:rFonts w:ascii="宋体" w:hAnsi="宋体"/>
                <w:sz w:val="18"/>
                <w:szCs w:val="18"/>
              </w:rPr>
            </w:pPr>
            <w:r>
              <w:rPr>
                <w:rFonts w:hint="eastAsia" w:ascii="宋体" w:hAnsi="宋体"/>
                <w:sz w:val="18"/>
                <w:szCs w:val="18"/>
              </w:rPr>
              <w:t>10</w:t>
            </w:r>
          </w:p>
        </w:tc>
        <w:tc>
          <w:tcPr>
            <w:tcW w:w="876" w:type="dxa"/>
          </w:tcPr>
          <w:p>
            <w:pPr>
              <w:jc w:val="center"/>
              <w:rPr>
                <w:rFonts w:hint="eastAsia" w:ascii="宋体" w:hAnsi="宋体"/>
                <w:sz w:val="18"/>
                <w:szCs w:val="18"/>
              </w:rPr>
            </w:pPr>
            <w:r>
              <w:rPr>
                <w:rFonts w:hint="eastAsia" w:ascii="宋体" w:hAnsi="宋体"/>
                <w:sz w:val="18"/>
                <w:szCs w:val="18"/>
              </w:rPr>
              <w:t>11</w:t>
            </w:r>
          </w:p>
        </w:tc>
        <w:tc>
          <w:tcPr>
            <w:tcW w:w="876" w:type="dxa"/>
          </w:tcPr>
          <w:p>
            <w:pPr>
              <w:jc w:val="center"/>
              <w:rPr>
                <w:rFonts w:hint="eastAsia" w:ascii="宋体" w:hAnsi="宋体"/>
                <w:sz w:val="18"/>
                <w:szCs w:val="18"/>
              </w:rPr>
            </w:pPr>
            <w:r>
              <w:rPr>
                <w:rFonts w:hint="eastAsia" w:ascii="宋体" w:hAnsi="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center"/>
              <w:rPr>
                <w:rFonts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80.19</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80.19</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80.19</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206</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科学技术支出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57.20</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57.20</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57.20</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206</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01</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科学技术管理事务</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57.20</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57.20</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57.20</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206</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行政运行</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57.20</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57.20</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57.20</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社会保障和就业支出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11.96</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11.96</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11.96</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行政事业单位养老支出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11.96</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11.96</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11.96</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行政单位离退休</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4.65</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4.65</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4.65</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机关事业单位基本养老保险缴费支出</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7.31</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7.31</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7.31</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卫生健康支出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4.90</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4.90</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4.90</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11</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行政事业单位医疗</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4.90</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4.90</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4.90</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行政单位医疗</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3.66</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3.66</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3.66</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03</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公务员医疗补助</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1.24</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1.24</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1.24</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住房保障支出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6.13</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6.13</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6.13</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住房改革支出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6.13</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6.13</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6.13</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221</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住房公积金</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6.13</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6.13</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6.13</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表3</w:t>
      </w:r>
    </w:p>
    <w:p>
      <w:pPr>
        <w:jc w:val="center"/>
        <w:rPr>
          <w:rFonts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编制部门：额敏县科学技术协会</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169" w:type="dxa"/>
            <w:vMerge w:val="restart"/>
            <w:shd w:val="clear" w:color="auto" w:fill="auto"/>
            <w:vAlign w:val="center"/>
          </w:tcPr>
          <w:p>
            <w:pPr>
              <w:jc w:val="center"/>
              <w:rPr>
                <w:sz w:val="18"/>
                <w:szCs w:val="18"/>
              </w:rPr>
            </w:pPr>
            <w:r>
              <w:rPr>
                <w:rFonts w:hint="eastAsia"/>
                <w:sz w:val="18"/>
                <w:szCs w:val="18"/>
              </w:rPr>
              <w:t>功能分类科目名称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169" w:type="dxa"/>
            <w:shd w:val="clear" w:color="auto" w:fill="auto"/>
            <w:vAlign w:val="center"/>
          </w:tcPr>
          <w:p>
            <w:pPr>
              <w:jc w:val="center"/>
              <w:rPr>
                <w:sz w:val="18"/>
                <w:szCs w:val="18"/>
              </w:rPr>
            </w:pPr>
            <w:r>
              <w:rPr>
                <w:rFonts w:hint="eastAsia"/>
                <w:color w:val="000000"/>
                <w:sz w:val="18"/>
                <w:szCs w:val="18"/>
              </w:rPr>
              <w:t>※</w:t>
            </w:r>
          </w:p>
        </w:tc>
        <w:tc>
          <w:tcPr>
            <w:tcW w:w="1306" w:type="dxa"/>
            <w:shd w:val="clear" w:color="auto" w:fill="auto"/>
            <w:vAlign w:val="center"/>
          </w:tcPr>
          <w:p>
            <w:pPr>
              <w:jc w:val="center"/>
              <w:rPr>
                <w:sz w:val="18"/>
                <w:szCs w:val="18"/>
              </w:rPr>
            </w:pPr>
            <w:r>
              <w:rPr>
                <w:rFonts w:hint="eastAsia"/>
                <w:sz w:val="18"/>
                <w:szCs w:val="18"/>
              </w:rPr>
              <w:t>1</w:t>
            </w:r>
          </w:p>
        </w:tc>
        <w:tc>
          <w:tcPr>
            <w:tcW w:w="1306" w:type="dxa"/>
            <w:gridSpan w:val="2"/>
            <w:shd w:val="clear" w:color="auto" w:fill="auto"/>
            <w:vAlign w:val="center"/>
          </w:tcPr>
          <w:p>
            <w:pPr>
              <w:jc w:val="center"/>
              <w:rPr>
                <w:sz w:val="18"/>
                <w:szCs w:val="18"/>
              </w:rPr>
            </w:pPr>
            <w:r>
              <w:rPr>
                <w:rFonts w:hint="eastAsia"/>
                <w:sz w:val="18"/>
                <w:szCs w:val="18"/>
              </w:rPr>
              <w:t>2</w:t>
            </w:r>
          </w:p>
        </w:tc>
        <w:tc>
          <w:tcPr>
            <w:tcW w:w="1405"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center"/>
              <w:rPr>
                <w:rFonts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pPr>
              <w:jc w:val="right"/>
              <w:rPr>
                <w:b/>
                <w:sz w:val="18"/>
                <w:szCs w:val="18"/>
              </w:rPr>
            </w:pPr>
            <w:r>
              <w:rPr>
                <w:rFonts w:hint="eastAsia" w:ascii="宋体" w:hAnsi="宋体"/>
                <w:b/>
                <w:color w:val="000000"/>
                <w:sz w:val="18"/>
                <w:szCs w:val="18"/>
              </w:rPr>
              <w:t>80.19</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80.19</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206</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科学技术支出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57.20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57.20</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206</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科学技术管理事务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57.20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57.20</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206</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行政运行</w:t>
            </w:r>
          </w:p>
        </w:tc>
        <w:tc>
          <w:tcPr>
            <w:tcW w:w="1306" w:type="dxa"/>
            <w:shd w:val="clear" w:color="auto" w:fill="auto"/>
            <w:vAlign w:val="center"/>
          </w:tcPr>
          <w:p>
            <w:pPr>
              <w:jc w:val="right"/>
              <w:rPr>
                <w:sz w:val="18"/>
                <w:szCs w:val="18"/>
              </w:rPr>
            </w:pPr>
            <w:r>
              <w:rPr>
                <w:rFonts w:hint="eastAsia" w:ascii="宋体" w:hAnsi="宋体"/>
                <w:color w:val="000000"/>
                <w:sz w:val="18"/>
                <w:szCs w:val="18"/>
              </w:rPr>
              <w:t>57.20</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57.20</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11.96</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11.96</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行政事业单位养老支出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11.96</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11.96</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行政单位离退休</w:t>
            </w:r>
          </w:p>
        </w:tc>
        <w:tc>
          <w:tcPr>
            <w:tcW w:w="1306" w:type="dxa"/>
            <w:shd w:val="clear" w:color="auto" w:fill="auto"/>
            <w:vAlign w:val="center"/>
          </w:tcPr>
          <w:p>
            <w:pPr>
              <w:jc w:val="right"/>
              <w:rPr>
                <w:sz w:val="18"/>
                <w:szCs w:val="18"/>
              </w:rPr>
            </w:pPr>
            <w:r>
              <w:rPr>
                <w:rFonts w:hint="eastAsia" w:ascii="宋体" w:hAnsi="宋体"/>
                <w:color w:val="000000"/>
                <w:sz w:val="18"/>
                <w:szCs w:val="18"/>
              </w:rPr>
              <w:t>4.65</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4.65</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机关事业单位基本养老保险缴费支出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7.31</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7.31</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4.90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4.90</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行政事业单位医疗</w:t>
            </w:r>
          </w:p>
        </w:tc>
        <w:tc>
          <w:tcPr>
            <w:tcW w:w="1306" w:type="dxa"/>
            <w:shd w:val="clear" w:color="auto" w:fill="auto"/>
            <w:vAlign w:val="center"/>
          </w:tcPr>
          <w:p>
            <w:pPr>
              <w:jc w:val="right"/>
              <w:rPr>
                <w:b/>
                <w:sz w:val="18"/>
                <w:szCs w:val="18"/>
              </w:rPr>
            </w:pPr>
            <w:r>
              <w:rPr>
                <w:rFonts w:hint="eastAsia" w:ascii="宋体" w:hAnsi="宋体"/>
                <w:b/>
                <w:color w:val="000000"/>
                <w:sz w:val="18"/>
                <w:szCs w:val="18"/>
              </w:rPr>
              <w:t>4.90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4.90</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行政单位医疗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3.66</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3.66</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03</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公务员医疗补助</w:t>
            </w:r>
          </w:p>
        </w:tc>
        <w:tc>
          <w:tcPr>
            <w:tcW w:w="1306" w:type="dxa"/>
            <w:shd w:val="clear" w:color="auto" w:fill="auto"/>
            <w:vAlign w:val="center"/>
          </w:tcPr>
          <w:p>
            <w:pPr>
              <w:jc w:val="right"/>
              <w:rPr>
                <w:sz w:val="18"/>
                <w:szCs w:val="18"/>
              </w:rPr>
            </w:pPr>
            <w:r>
              <w:rPr>
                <w:rFonts w:hint="eastAsia" w:ascii="宋体" w:hAnsi="宋体"/>
                <w:color w:val="000000"/>
                <w:sz w:val="18"/>
                <w:szCs w:val="18"/>
              </w:rPr>
              <w:t>1.24</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1.24</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6.13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6.13</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住房改革支出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6.13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6.13</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221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住房公积金</w:t>
            </w:r>
          </w:p>
        </w:tc>
        <w:tc>
          <w:tcPr>
            <w:tcW w:w="1306" w:type="dxa"/>
            <w:shd w:val="clear" w:color="auto" w:fill="auto"/>
            <w:vAlign w:val="center"/>
          </w:tcPr>
          <w:p>
            <w:pPr>
              <w:jc w:val="right"/>
              <w:rPr>
                <w:sz w:val="18"/>
                <w:szCs w:val="18"/>
              </w:rPr>
            </w:pPr>
            <w:r>
              <w:rPr>
                <w:rFonts w:hint="eastAsia" w:ascii="宋体" w:hAnsi="宋体"/>
                <w:color w:val="000000"/>
                <w:sz w:val="18"/>
                <w:szCs w:val="18"/>
              </w:rPr>
              <w:t>6.13</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6.13</w:t>
            </w:r>
          </w:p>
        </w:tc>
        <w:tc>
          <w:tcPr>
            <w:tcW w:w="1405" w:type="dxa"/>
            <w:shd w:val="clear" w:color="auto" w:fill="auto"/>
            <w:vAlign w:val="center"/>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表4</w:t>
      </w:r>
    </w:p>
    <w:p>
      <w:pPr>
        <w:jc w:val="center"/>
        <w:rPr>
          <w:rFonts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6"/>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编制部门：额敏县科学技术协会</w:t>
            </w:r>
          </w:p>
        </w:tc>
        <w:tc>
          <w:tcPr>
            <w:tcW w:w="1119" w:type="dxa"/>
            <w:gridSpan w:val="2"/>
            <w:tcBorders>
              <w:top w:val="nil"/>
              <w:left w:val="nil"/>
              <w:right w:val="nil"/>
            </w:tcBorders>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功能分类</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ascii="宋体" w:hAnsi="宋体"/>
                <w:color w:val="000000"/>
                <w:sz w:val="18"/>
                <w:szCs w:val="18"/>
              </w:rPr>
            </w:pPr>
            <w:r>
              <w:rPr>
                <w:rFonts w:hint="eastAsia" w:ascii="宋体" w:hAnsi="宋体"/>
                <w:b/>
                <w:color w:val="000000"/>
                <w:sz w:val="18"/>
                <w:szCs w:val="18"/>
              </w:rPr>
              <w:t>80.19</w:t>
            </w: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ascii="宋体" w:hAnsi="宋体"/>
                <w:color w:val="000000"/>
                <w:sz w:val="18"/>
                <w:szCs w:val="18"/>
              </w:rPr>
            </w:pPr>
          </w:p>
        </w:tc>
        <w:tc>
          <w:tcPr>
            <w:tcW w:w="1063" w:type="dxa"/>
            <w:gridSpan w:val="2"/>
            <w:shd w:val="clear" w:color="auto" w:fill="auto"/>
          </w:tcPr>
          <w:p>
            <w:pPr>
              <w:jc w:val="right"/>
              <w:rPr>
                <w:rFonts w:ascii="宋体" w:hAnsi="宋体"/>
                <w:color w:val="000000"/>
                <w:sz w:val="18"/>
                <w:szCs w:val="18"/>
              </w:rPr>
            </w:pPr>
          </w:p>
        </w:tc>
        <w:tc>
          <w:tcPr>
            <w:tcW w:w="1063" w:type="dxa"/>
            <w:gridSpan w:val="2"/>
          </w:tcPr>
          <w:p>
            <w:pPr>
              <w:jc w:val="right"/>
              <w:rPr>
                <w:rFonts w:ascii="宋体" w:hAnsi="宋体"/>
                <w:color w:val="000000"/>
                <w:sz w:val="18"/>
                <w:szCs w:val="18"/>
              </w:rPr>
            </w:pPr>
          </w:p>
        </w:tc>
        <w:tc>
          <w:tcPr>
            <w:tcW w:w="1051"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ascii="宋体" w:hAnsi="宋体"/>
                <w:color w:val="000000"/>
                <w:sz w:val="18"/>
                <w:szCs w:val="18"/>
              </w:rPr>
            </w:pPr>
            <w:r>
              <w:rPr>
                <w:rFonts w:hint="eastAsia" w:ascii="宋体" w:hAnsi="宋体"/>
                <w:color w:val="000000"/>
                <w:sz w:val="18"/>
                <w:szCs w:val="18"/>
              </w:rPr>
              <w:t>80.19</w:t>
            </w: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ascii="宋体" w:hAnsi="宋体"/>
                <w:color w:val="000000"/>
                <w:sz w:val="18"/>
                <w:szCs w:val="18"/>
              </w:rPr>
            </w:pPr>
          </w:p>
        </w:tc>
        <w:tc>
          <w:tcPr>
            <w:tcW w:w="1063" w:type="dxa"/>
            <w:gridSpan w:val="2"/>
            <w:shd w:val="clear" w:color="auto" w:fill="auto"/>
          </w:tcPr>
          <w:p>
            <w:pPr>
              <w:jc w:val="right"/>
              <w:rPr>
                <w:rFonts w:ascii="宋体" w:hAnsi="宋体"/>
                <w:color w:val="000000"/>
                <w:sz w:val="18"/>
                <w:szCs w:val="18"/>
              </w:rPr>
            </w:pPr>
          </w:p>
        </w:tc>
        <w:tc>
          <w:tcPr>
            <w:tcW w:w="1063" w:type="dxa"/>
            <w:gridSpan w:val="2"/>
          </w:tcPr>
          <w:p>
            <w:pPr>
              <w:jc w:val="right"/>
              <w:rPr>
                <w:rFonts w:ascii="宋体" w:hAnsi="宋体"/>
                <w:color w:val="000000"/>
                <w:sz w:val="18"/>
                <w:szCs w:val="18"/>
              </w:rPr>
            </w:pPr>
          </w:p>
        </w:tc>
        <w:tc>
          <w:tcPr>
            <w:tcW w:w="1051"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ascii="宋体" w:hAnsi="宋体"/>
                <w:color w:val="000000"/>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ascii="宋体" w:hAnsi="宋体"/>
                <w:color w:val="000000"/>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57.20</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57.20</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11.96</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11.96</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4.90</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4.90</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6.13</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6.13</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ascii="宋体" w:hAnsi="宋体" w:cs="宋体"/>
                <w:color w:val="000000"/>
                <w:sz w:val="18"/>
                <w:szCs w:val="18"/>
              </w:rPr>
            </w:pP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80.19</w:t>
            </w:r>
          </w:p>
        </w:tc>
        <w:tc>
          <w:tcPr>
            <w:tcW w:w="2434" w:type="dxa"/>
            <w:shd w:val="clear" w:color="auto" w:fill="auto"/>
          </w:tcPr>
          <w:p>
            <w:pPr>
              <w:jc w:val="center"/>
              <w:rPr>
                <w:rFonts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80.19</w:t>
            </w:r>
          </w:p>
        </w:tc>
        <w:tc>
          <w:tcPr>
            <w:tcW w:w="1063" w:type="dxa"/>
            <w:gridSpan w:val="2"/>
            <w:shd w:val="clear" w:color="auto" w:fill="auto"/>
          </w:tcPr>
          <w:p>
            <w:pPr>
              <w:jc w:val="right"/>
              <w:rPr>
                <w:sz w:val="18"/>
                <w:szCs w:val="18"/>
              </w:rPr>
            </w:pPr>
            <w:r>
              <w:rPr>
                <w:rFonts w:hint="eastAsia" w:ascii="宋体" w:hAnsi="宋体"/>
                <w:b/>
                <w:color w:val="000000"/>
                <w:sz w:val="18"/>
                <w:szCs w:val="18"/>
              </w:rPr>
              <w:t>80.19</w:t>
            </w:r>
          </w:p>
        </w:tc>
        <w:tc>
          <w:tcPr>
            <w:tcW w:w="1063" w:type="dxa"/>
            <w:gridSpan w:val="2"/>
          </w:tcPr>
          <w:p>
            <w:pPr>
              <w:jc w:val="right"/>
              <w:rPr>
                <w:sz w:val="18"/>
                <w:szCs w:val="18"/>
              </w:rPr>
            </w:pPr>
          </w:p>
        </w:tc>
        <w:tc>
          <w:tcPr>
            <w:tcW w:w="1051" w:type="dxa"/>
            <w:shd w:val="clear" w:color="auto" w:fill="auto"/>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编制部门：额敏县科学技术协会</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026" w:type="dxa"/>
            <w:vMerge w:val="restart"/>
            <w:shd w:val="clear" w:color="auto" w:fill="auto"/>
            <w:vAlign w:val="center"/>
          </w:tcPr>
          <w:p>
            <w:pPr>
              <w:jc w:val="center"/>
              <w:rPr>
                <w:sz w:val="18"/>
                <w:szCs w:val="18"/>
              </w:rPr>
            </w:pPr>
            <w:r>
              <w:rPr>
                <w:rFonts w:hint="eastAsia"/>
                <w:sz w:val="18"/>
                <w:szCs w:val="18"/>
              </w:rPr>
              <w:t>功能分类科目名称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026"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80.19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80.19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206</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科学技术支出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57.20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57.20</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206</w:t>
            </w:r>
          </w:p>
        </w:tc>
        <w:tc>
          <w:tcPr>
            <w:tcW w:w="567" w:type="dxa"/>
            <w:shd w:val="clear" w:color="auto" w:fill="auto"/>
            <w:vAlign w:val="center"/>
          </w:tcPr>
          <w:p>
            <w:pPr>
              <w:jc w:val="center"/>
              <w:rPr>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科学技术管理事务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57.20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57.20</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206</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57.20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57.20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11.96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11.96</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11.96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11.96</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4.65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4.65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7.31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7.31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4.90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4.90</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4.90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4.90</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3.66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3.66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1.24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1.24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6.13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6.13</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6.13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6.13</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6.13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6.13</w:t>
            </w:r>
          </w:p>
        </w:tc>
        <w:tc>
          <w:tcPr>
            <w:tcW w:w="1427" w:type="dxa"/>
            <w:shd w:val="clear" w:color="auto" w:fill="auto"/>
            <w:vAlign w:val="center"/>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编制部门：额敏县科学技术协会</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经济分类科目编码</w:t>
            </w:r>
          </w:p>
        </w:tc>
        <w:tc>
          <w:tcPr>
            <w:tcW w:w="4593" w:type="dxa"/>
            <w:vMerge w:val="restart"/>
            <w:shd w:val="clear" w:color="auto" w:fill="auto"/>
            <w:vAlign w:val="center"/>
          </w:tcPr>
          <w:p>
            <w:pPr>
              <w:jc w:val="center"/>
              <w:rPr>
                <w:sz w:val="18"/>
                <w:szCs w:val="18"/>
              </w:rPr>
            </w:pPr>
            <w:r>
              <w:rPr>
                <w:rFonts w:hint="eastAsia"/>
                <w:sz w:val="18"/>
                <w:szCs w:val="18"/>
              </w:rPr>
              <w:t>经济分类科目名称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593"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center"/>
              <w:rPr>
                <w:rFonts w:ascii="宋体" w:hAnsi="宋体"/>
                <w:b/>
                <w:sz w:val="18"/>
                <w:szCs w:val="18"/>
              </w:rPr>
            </w:pPr>
            <w:r>
              <w:rPr>
                <w:rFonts w:ascii="宋体" w:hAnsi="宋体"/>
                <w:b/>
                <w:sz w:val="18"/>
                <w:szCs w:val="18"/>
              </w:rPr>
              <w:t>总计</w:t>
            </w:r>
          </w:p>
        </w:tc>
        <w:tc>
          <w:tcPr>
            <w:tcW w:w="1367" w:type="dxa"/>
            <w:shd w:val="clear" w:color="auto" w:fill="auto"/>
            <w:vAlign w:val="center"/>
          </w:tcPr>
          <w:p>
            <w:pPr>
              <w:jc w:val="right"/>
              <w:rPr>
                <w:rFonts w:ascii="宋体" w:hAnsi="宋体"/>
                <w:b/>
                <w:sz w:val="18"/>
                <w:szCs w:val="18"/>
              </w:rPr>
            </w:pPr>
            <w:r>
              <w:rPr>
                <w:rFonts w:ascii="宋体" w:hAnsi="宋体"/>
                <w:b/>
                <w:sz w:val="18"/>
                <w:szCs w:val="18"/>
              </w:rPr>
              <w:t>80.19</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73.86</w:t>
            </w:r>
          </w:p>
        </w:tc>
        <w:tc>
          <w:tcPr>
            <w:tcW w:w="1427" w:type="dxa"/>
            <w:shd w:val="clear" w:color="auto" w:fill="auto"/>
            <w:vAlign w:val="center"/>
          </w:tcPr>
          <w:p>
            <w:pPr>
              <w:jc w:val="right"/>
              <w:rPr>
                <w:rFonts w:ascii="宋体" w:hAnsi="宋体"/>
                <w:b/>
                <w:sz w:val="18"/>
                <w:szCs w:val="18"/>
              </w:rPr>
            </w:pPr>
            <w:r>
              <w:rPr>
                <w:rFonts w:ascii="宋体" w:hAnsi="宋体"/>
                <w:b/>
                <w:sz w:val="18"/>
                <w:szCs w:val="18"/>
              </w:rPr>
              <w:t>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301</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工资福利支出</w:t>
            </w:r>
          </w:p>
        </w:tc>
        <w:tc>
          <w:tcPr>
            <w:tcW w:w="1367" w:type="dxa"/>
            <w:shd w:val="clear" w:color="auto" w:fill="auto"/>
            <w:vAlign w:val="center"/>
          </w:tcPr>
          <w:p>
            <w:pPr>
              <w:jc w:val="right"/>
              <w:rPr>
                <w:rFonts w:ascii="宋体" w:hAnsi="宋体"/>
                <w:b/>
                <w:sz w:val="18"/>
                <w:szCs w:val="18"/>
              </w:rPr>
            </w:pPr>
            <w:r>
              <w:rPr>
                <w:rFonts w:ascii="宋体" w:hAnsi="宋体"/>
                <w:b/>
                <w:sz w:val="18"/>
                <w:szCs w:val="18"/>
              </w:rPr>
              <w:t>69.78</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69.78</w:t>
            </w:r>
          </w:p>
        </w:tc>
        <w:tc>
          <w:tcPr>
            <w:tcW w:w="1427" w:type="dxa"/>
            <w:shd w:val="clear" w:color="auto" w:fill="auto"/>
            <w:vAlign w:val="center"/>
          </w:tcPr>
          <w:p>
            <w:pPr>
              <w:jc w:val="right"/>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基本工资</w:t>
            </w:r>
          </w:p>
        </w:tc>
        <w:tc>
          <w:tcPr>
            <w:tcW w:w="1367" w:type="dxa"/>
            <w:shd w:val="clear" w:color="auto" w:fill="auto"/>
            <w:vAlign w:val="center"/>
          </w:tcPr>
          <w:p>
            <w:pPr>
              <w:jc w:val="right"/>
              <w:rPr>
                <w:rFonts w:ascii="宋体" w:hAnsi="宋体"/>
                <w:sz w:val="18"/>
                <w:szCs w:val="18"/>
              </w:rPr>
            </w:pPr>
            <w:r>
              <w:rPr>
                <w:rFonts w:ascii="宋体" w:hAnsi="宋体"/>
                <w:sz w:val="18"/>
                <w:szCs w:val="18"/>
              </w:rPr>
              <w:t>19.86</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19.86</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津贴补贴</w:t>
            </w:r>
          </w:p>
        </w:tc>
        <w:tc>
          <w:tcPr>
            <w:tcW w:w="1367" w:type="dxa"/>
            <w:shd w:val="clear" w:color="auto" w:fill="auto"/>
            <w:vAlign w:val="center"/>
          </w:tcPr>
          <w:p>
            <w:pPr>
              <w:jc w:val="right"/>
              <w:rPr>
                <w:rFonts w:ascii="宋体" w:hAnsi="宋体"/>
                <w:sz w:val="18"/>
                <w:szCs w:val="18"/>
              </w:rPr>
            </w:pPr>
            <w:r>
              <w:rPr>
                <w:rFonts w:ascii="宋体" w:hAnsi="宋体"/>
                <w:sz w:val="18"/>
                <w:szCs w:val="18"/>
              </w:rPr>
              <w:t>17.66</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17.66</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03</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奖金</w:t>
            </w:r>
          </w:p>
        </w:tc>
        <w:tc>
          <w:tcPr>
            <w:tcW w:w="1367" w:type="dxa"/>
            <w:shd w:val="clear" w:color="auto" w:fill="auto"/>
            <w:vAlign w:val="center"/>
          </w:tcPr>
          <w:p>
            <w:pPr>
              <w:jc w:val="right"/>
              <w:rPr>
                <w:rFonts w:ascii="宋体" w:hAnsi="宋体"/>
                <w:sz w:val="18"/>
                <w:szCs w:val="18"/>
              </w:rPr>
            </w:pPr>
            <w:r>
              <w:rPr>
                <w:rFonts w:ascii="宋体" w:hAnsi="宋体"/>
                <w:sz w:val="18"/>
                <w:szCs w:val="18"/>
              </w:rPr>
              <w:t>13.70</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13.70</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机关事业单位基本养老保险缴费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7.31</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7.31</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10</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职工基本医疗保险缴费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3.66</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3.66</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公务员医疗补助缴费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1.24</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1.24</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其他社会保障缴费</w:t>
            </w:r>
          </w:p>
        </w:tc>
        <w:tc>
          <w:tcPr>
            <w:tcW w:w="1367" w:type="dxa"/>
            <w:shd w:val="clear" w:color="auto" w:fill="auto"/>
            <w:vAlign w:val="center"/>
          </w:tcPr>
          <w:p>
            <w:pPr>
              <w:jc w:val="right"/>
              <w:rPr>
                <w:rFonts w:ascii="宋体" w:hAnsi="宋体"/>
                <w:sz w:val="18"/>
                <w:szCs w:val="18"/>
              </w:rPr>
            </w:pPr>
            <w:r>
              <w:rPr>
                <w:rFonts w:ascii="宋体" w:hAnsi="宋体"/>
                <w:sz w:val="18"/>
                <w:szCs w:val="18"/>
              </w:rPr>
              <w:t>0.23</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0.23</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13</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住房公积金</w:t>
            </w:r>
          </w:p>
        </w:tc>
        <w:tc>
          <w:tcPr>
            <w:tcW w:w="1367" w:type="dxa"/>
            <w:shd w:val="clear" w:color="auto" w:fill="auto"/>
            <w:vAlign w:val="center"/>
          </w:tcPr>
          <w:p>
            <w:pPr>
              <w:jc w:val="right"/>
              <w:rPr>
                <w:rFonts w:ascii="宋体" w:hAnsi="宋体"/>
                <w:sz w:val="18"/>
                <w:szCs w:val="18"/>
              </w:rPr>
            </w:pPr>
            <w:r>
              <w:rPr>
                <w:rFonts w:ascii="宋体" w:hAnsi="宋体"/>
                <w:sz w:val="18"/>
                <w:szCs w:val="18"/>
              </w:rPr>
              <w:t>6.13</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6.13</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302</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商品和服务支出</w:t>
            </w:r>
          </w:p>
        </w:tc>
        <w:tc>
          <w:tcPr>
            <w:tcW w:w="1367" w:type="dxa"/>
            <w:shd w:val="clear" w:color="auto" w:fill="auto"/>
            <w:vAlign w:val="center"/>
          </w:tcPr>
          <w:p>
            <w:pPr>
              <w:jc w:val="right"/>
              <w:rPr>
                <w:rFonts w:ascii="宋体" w:hAnsi="宋体"/>
                <w:b/>
                <w:sz w:val="18"/>
                <w:szCs w:val="18"/>
              </w:rPr>
            </w:pPr>
            <w:r>
              <w:rPr>
                <w:rFonts w:ascii="宋体" w:hAnsi="宋体"/>
                <w:b/>
                <w:sz w:val="18"/>
                <w:szCs w:val="18"/>
              </w:rPr>
              <w:t>6.32</w:t>
            </w:r>
          </w:p>
        </w:tc>
        <w:tc>
          <w:tcPr>
            <w:tcW w:w="1366" w:type="dxa"/>
            <w:gridSpan w:val="2"/>
            <w:shd w:val="clear" w:color="auto" w:fill="auto"/>
            <w:vAlign w:val="center"/>
          </w:tcPr>
          <w:p>
            <w:pPr>
              <w:jc w:val="right"/>
              <w:rPr>
                <w:rFonts w:ascii="宋体" w:hAnsi="宋体"/>
                <w:b/>
                <w:sz w:val="18"/>
                <w:szCs w:val="18"/>
              </w:rPr>
            </w:pPr>
          </w:p>
        </w:tc>
        <w:tc>
          <w:tcPr>
            <w:tcW w:w="1427" w:type="dxa"/>
            <w:shd w:val="clear" w:color="auto" w:fill="auto"/>
            <w:vAlign w:val="center"/>
          </w:tcPr>
          <w:p>
            <w:pPr>
              <w:jc w:val="right"/>
              <w:rPr>
                <w:rFonts w:ascii="宋体" w:hAnsi="宋体"/>
                <w:b/>
                <w:sz w:val="18"/>
                <w:szCs w:val="18"/>
              </w:rPr>
            </w:pPr>
            <w:r>
              <w:rPr>
                <w:rFonts w:ascii="宋体" w:hAnsi="宋体"/>
                <w:b/>
                <w:sz w:val="18"/>
                <w:szCs w:val="18"/>
              </w:rPr>
              <w:t>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办公费</w:t>
            </w:r>
          </w:p>
        </w:tc>
        <w:tc>
          <w:tcPr>
            <w:tcW w:w="1367" w:type="dxa"/>
            <w:shd w:val="clear" w:color="auto" w:fill="auto"/>
            <w:vAlign w:val="center"/>
          </w:tcPr>
          <w:p>
            <w:pPr>
              <w:jc w:val="right"/>
              <w:rPr>
                <w:rFonts w:ascii="宋体" w:hAnsi="宋体"/>
                <w:sz w:val="18"/>
                <w:szCs w:val="18"/>
              </w:rPr>
            </w:pPr>
            <w:r>
              <w:rPr>
                <w:rFonts w:ascii="宋体" w:hAnsi="宋体"/>
                <w:sz w:val="18"/>
                <w:szCs w:val="18"/>
              </w:rPr>
              <w:t>1.60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印刷费</w:t>
            </w:r>
          </w:p>
        </w:tc>
        <w:tc>
          <w:tcPr>
            <w:tcW w:w="1367" w:type="dxa"/>
            <w:shd w:val="clear" w:color="auto" w:fill="auto"/>
            <w:vAlign w:val="center"/>
          </w:tcPr>
          <w:p>
            <w:pPr>
              <w:jc w:val="right"/>
              <w:rPr>
                <w:rFonts w:ascii="宋体" w:hAnsi="宋体"/>
                <w:sz w:val="18"/>
                <w:szCs w:val="18"/>
              </w:rPr>
            </w:pPr>
            <w:r>
              <w:rPr>
                <w:rFonts w:ascii="宋体" w:hAnsi="宋体"/>
                <w:sz w:val="18"/>
                <w:szCs w:val="18"/>
              </w:rPr>
              <w:t>0.50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07</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邮电费</w:t>
            </w:r>
          </w:p>
        </w:tc>
        <w:tc>
          <w:tcPr>
            <w:tcW w:w="1367" w:type="dxa"/>
            <w:shd w:val="clear" w:color="auto" w:fill="auto"/>
            <w:vAlign w:val="center"/>
          </w:tcPr>
          <w:p>
            <w:pPr>
              <w:jc w:val="right"/>
              <w:rPr>
                <w:rFonts w:ascii="宋体" w:hAnsi="宋体"/>
                <w:sz w:val="18"/>
                <w:szCs w:val="18"/>
              </w:rPr>
            </w:pPr>
            <w:r>
              <w:rPr>
                <w:rFonts w:ascii="宋体" w:hAnsi="宋体"/>
                <w:sz w:val="18"/>
                <w:szCs w:val="18"/>
              </w:rPr>
              <w:t>0.20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11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差旅费</w:t>
            </w:r>
          </w:p>
        </w:tc>
        <w:tc>
          <w:tcPr>
            <w:tcW w:w="1367" w:type="dxa"/>
            <w:shd w:val="clear" w:color="auto" w:fill="auto"/>
            <w:vAlign w:val="center"/>
          </w:tcPr>
          <w:p>
            <w:pPr>
              <w:jc w:val="right"/>
              <w:rPr>
                <w:rFonts w:ascii="宋体" w:hAnsi="宋体"/>
                <w:sz w:val="18"/>
                <w:szCs w:val="18"/>
              </w:rPr>
            </w:pPr>
            <w:r>
              <w:rPr>
                <w:rFonts w:ascii="宋体" w:hAnsi="宋体"/>
                <w:sz w:val="18"/>
                <w:szCs w:val="18"/>
              </w:rPr>
              <w:t>0.66</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16</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培训费</w:t>
            </w:r>
          </w:p>
        </w:tc>
        <w:tc>
          <w:tcPr>
            <w:tcW w:w="1367" w:type="dxa"/>
            <w:shd w:val="clear" w:color="auto" w:fill="auto"/>
            <w:vAlign w:val="center"/>
          </w:tcPr>
          <w:p>
            <w:pPr>
              <w:jc w:val="right"/>
              <w:rPr>
                <w:rFonts w:ascii="宋体" w:hAnsi="宋体"/>
                <w:sz w:val="18"/>
                <w:szCs w:val="18"/>
              </w:rPr>
            </w:pPr>
            <w:r>
              <w:rPr>
                <w:rFonts w:ascii="宋体" w:hAnsi="宋体"/>
                <w:sz w:val="18"/>
                <w:szCs w:val="18"/>
              </w:rPr>
              <w:t>0.30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26</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劳务费</w:t>
            </w:r>
          </w:p>
        </w:tc>
        <w:tc>
          <w:tcPr>
            <w:tcW w:w="1367" w:type="dxa"/>
            <w:shd w:val="clear" w:color="auto" w:fill="auto"/>
            <w:vAlign w:val="center"/>
          </w:tcPr>
          <w:p>
            <w:pPr>
              <w:jc w:val="right"/>
              <w:rPr>
                <w:rFonts w:ascii="宋体" w:hAnsi="宋体"/>
                <w:sz w:val="18"/>
                <w:szCs w:val="18"/>
              </w:rPr>
            </w:pPr>
            <w:r>
              <w:rPr>
                <w:rFonts w:ascii="宋体" w:hAnsi="宋体"/>
                <w:sz w:val="18"/>
                <w:szCs w:val="18"/>
              </w:rPr>
              <w:t>0.60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28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工会经费</w:t>
            </w:r>
          </w:p>
        </w:tc>
        <w:tc>
          <w:tcPr>
            <w:tcW w:w="1367" w:type="dxa"/>
            <w:shd w:val="clear" w:color="auto" w:fill="auto"/>
            <w:vAlign w:val="center"/>
          </w:tcPr>
          <w:p>
            <w:pPr>
              <w:jc w:val="right"/>
              <w:rPr>
                <w:rFonts w:ascii="宋体" w:hAnsi="宋体"/>
                <w:sz w:val="18"/>
                <w:szCs w:val="18"/>
              </w:rPr>
            </w:pPr>
            <w:r>
              <w:rPr>
                <w:rFonts w:ascii="宋体" w:hAnsi="宋体"/>
                <w:sz w:val="18"/>
                <w:szCs w:val="18"/>
              </w:rPr>
              <w:t>0.50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29</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福利费</w:t>
            </w:r>
          </w:p>
        </w:tc>
        <w:tc>
          <w:tcPr>
            <w:tcW w:w="1367" w:type="dxa"/>
            <w:shd w:val="clear" w:color="auto" w:fill="auto"/>
            <w:vAlign w:val="center"/>
          </w:tcPr>
          <w:p>
            <w:pPr>
              <w:jc w:val="right"/>
              <w:rPr>
                <w:rFonts w:ascii="宋体" w:hAnsi="宋体"/>
                <w:sz w:val="18"/>
                <w:szCs w:val="18"/>
              </w:rPr>
            </w:pPr>
            <w:r>
              <w:rPr>
                <w:rFonts w:ascii="宋体" w:hAnsi="宋体"/>
                <w:sz w:val="18"/>
                <w:szCs w:val="18"/>
              </w:rPr>
              <w:t>1.02</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31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公务用车运行维护费</w:t>
            </w:r>
          </w:p>
        </w:tc>
        <w:tc>
          <w:tcPr>
            <w:tcW w:w="1367" w:type="dxa"/>
            <w:shd w:val="clear" w:color="auto" w:fill="auto"/>
            <w:vAlign w:val="center"/>
          </w:tcPr>
          <w:p>
            <w:pPr>
              <w:jc w:val="right"/>
              <w:rPr>
                <w:rFonts w:ascii="宋体" w:hAnsi="宋体"/>
                <w:sz w:val="18"/>
                <w:szCs w:val="18"/>
              </w:rPr>
            </w:pPr>
            <w:r>
              <w:rPr>
                <w:rFonts w:ascii="宋体" w:hAnsi="宋体"/>
                <w:sz w:val="18"/>
                <w:szCs w:val="18"/>
              </w:rPr>
              <w:t>0.48</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39</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其他交通费用</w:t>
            </w:r>
          </w:p>
        </w:tc>
        <w:tc>
          <w:tcPr>
            <w:tcW w:w="1367" w:type="dxa"/>
            <w:shd w:val="clear" w:color="auto" w:fill="auto"/>
            <w:vAlign w:val="center"/>
          </w:tcPr>
          <w:p>
            <w:pPr>
              <w:jc w:val="right"/>
              <w:rPr>
                <w:rFonts w:ascii="宋体" w:hAnsi="宋体"/>
                <w:sz w:val="18"/>
                <w:szCs w:val="18"/>
              </w:rPr>
            </w:pPr>
            <w:r>
              <w:rPr>
                <w:rFonts w:ascii="宋体" w:hAnsi="宋体"/>
                <w:sz w:val="18"/>
                <w:szCs w:val="18"/>
              </w:rPr>
              <w:t>0.46</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303</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对个人和家庭的补助</w:t>
            </w:r>
          </w:p>
        </w:tc>
        <w:tc>
          <w:tcPr>
            <w:tcW w:w="1367" w:type="dxa"/>
            <w:shd w:val="clear" w:color="auto" w:fill="auto"/>
            <w:vAlign w:val="center"/>
          </w:tcPr>
          <w:p>
            <w:pPr>
              <w:jc w:val="right"/>
              <w:rPr>
                <w:rFonts w:ascii="宋体" w:hAnsi="宋体"/>
                <w:b/>
                <w:sz w:val="18"/>
                <w:szCs w:val="18"/>
              </w:rPr>
            </w:pPr>
            <w:r>
              <w:rPr>
                <w:rFonts w:ascii="宋体" w:hAnsi="宋体"/>
                <w:b/>
                <w:sz w:val="18"/>
                <w:szCs w:val="18"/>
              </w:rPr>
              <w:t>4.08</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4.08</w:t>
            </w:r>
          </w:p>
        </w:tc>
        <w:tc>
          <w:tcPr>
            <w:tcW w:w="1427" w:type="dxa"/>
            <w:shd w:val="clear" w:color="auto" w:fill="auto"/>
            <w:vAlign w:val="center"/>
          </w:tcPr>
          <w:p>
            <w:pPr>
              <w:jc w:val="right"/>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退休费</w:t>
            </w:r>
          </w:p>
        </w:tc>
        <w:tc>
          <w:tcPr>
            <w:tcW w:w="1367" w:type="dxa"/>
            <w:shd w:val="clear" w:color="auto" w:fill="auto"/>
            <w:vAlign w:val="center"/>
          </w:tcPr>
          <w:p>
            <w:pPr>
              <w:jc w:val="right"/>
              <w:rPr>
                <w:rFonts w:ascii="宋体" w:hAnsi="宋体"/>
                <w:sz w:val="18"/>
                <w:szCs w:val="18"/>
              </w:rPr>
            </w:pPr>
            <w:r>
              <w:rPr>
                <w:rFonts w:ascii="宋体" w:hAnsi="宋体"/>
                <w:sz w:val="18"/>
                <w:szCs w:val="18"/>
              </w:rPr>
              <w:t>4.08</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4.08</w:t>
            </w:r>
          </w:p>
        </w:tc>
        <w:tc>
          <w:tcPr>
            <w:tcW w:w="1427" w:type="dxa"/>
            <w:shd w:val="clear" w:color="auto" w:fill="auto"/>
            <w:vAlign w:val="center"/>
          </w:tcPr>
          <w:p>
            <w:pPr>
              <w:jc w:val="right"/>
              <w:rPr>
                <w:rFonts w:ascii="宋体" w:hAnsi="宋体"/>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6"/>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编制部门：额敏县科学技术协会</w:t>
            </w:r>
          </w:p>
        </w:tc>
        <w:tc>
          <w:tcPr>
            <w:tcW w:w="1863"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rPr>
            </w:pPr>
            <w:r>
              <w:rPr>
                <w:rFonts w:hint="eastAsia"/>
                <w:sz w:val="18"/>
                <w:szCs w:val="18"/>
              </w:rPr>
              <w:t>科目编码</w:t>
            </w:r>
          </w:p>
        </w:tc>
        <w:tc>
          <w:tcPr>
            <w:tcW w:w="2073" w:type="dxa"/>
            <w:vMerge w:val="restart"/>
            <w:shd w:val="clear" w:color="auto" w:fill="auto"/>
            <w:vAlign w:val="center"/>
          </w:tcPr>
          <w:p>
            <w:pPr>
              <w:jc w:val="center"/>
              <w:rPr>
                <w:sz w:val="18"/>
                <w:szCs w:val="18"/>
              </w:rPr>
            </w:pPr>
            <w:r>
              <w:rPr>
                <w:rFonts w:hint="eastAsia"/>
                <w:sz w:val="18"/>
                <w:szCs w:val="18"/>
              </w:rPr>
              <w:t>功能分类科目名称</w:t>
            </w:r>
          </w:p>
        </w:tc>
        <w:tc>
          <w:tcPr>
            <w:tcW w:w="2073" w:type="dxa"/>
            <w:vMerge w:val="restart"/>
            <w:shd w:val="clear" w:color="auto" w:fill="auto"/>
            <w:vAlign w:val="center"/>
          </w:tcPr>
          <w:p>
            <w:pPr>
              <w:jc w:val="center"/>
              <w:rPr>
                <w:sz w:val="18"/>
                <w:szCs w:val="18"/>
              </w:rPr>
            </w:pPr>
            <w:r>
              <w:rPr>
                <w:rFonts w:hint="eastAsia"/>
                <w:sz w:val="18"/>
                <w:szCs w:val="18"/>
              </w:rPr>
              <w:t>项目名称</w:t>
            </w:r>
          </w:p>
        </w:tc>
        <w:tc>
          <w:tcPr>
            <w:tcW w:w="881" w:type="dxa"/>
            <w:vMerge w:val="restart"/>
            <w:shd w:val="clear" w:color="auto" w:fill="auto"/>
            <w:vAlign w:val="center"/>
          </w:tcPr>
          <w:p>
            <w:pPr>
              <w:jc w:val="center"/>
              <w:rPr>
                <w:sz w:val="18"/>
                <w:szCs w:val="18"/>
              </w:rPr>
            </w:pPr>
            <w:r>
              <w:rPr>
                <w:rFonts w:hint="eastAsia"/>
                <w:sz w:val="18"/>
                <w:szCs w:val="18"/>
              </w:rPr>
              <w:t>项目支出合计</w:t>
            </w:r>
          </w:p>
        </w:tc>
        <w:tc>
          <w:tcPr>
            <w:tcW w:w="881" w:type="dxa"/>
            <w:vMerge w:val="restart"/>
            <w:shd w:val="clear" w:color="auto" w:fill="auto"/>
            <w:vAlign w:val="center"/>
          </w:tcPr>
          <w:p>
            <w:pPr>
              <w:jc w:val="center"/>
              <w:rPr>
                <w:sz w:val="18"/>
                <w:szCs w:val="18"/>
              </w:rPr>
            </w:pPr>
            <w:r>
              <w:rPr>
                <w:rFonts w:hint="eastAsia"/>
                <w:sz w:val="18"/>
                <w:szCs w:val="18"/>
              </w:rPr>
              <w:t>工资福利支出</w:t>
            </w:r>
          </w:p>
        </w:tc>
        <w:tc>
          <w:tcPr>
            <w:tcW w:w="881" w:type="dxa"/>
            <w:vMerge w:val="restart"/>
            <w:shd w:val="clear" w:color="auto" w:fill="auto"/>
            <w:vAlign w:val="center"/>
          </w:tcPr>
          <w:p>
            <w:pPr>
              <w:jc w:val="center"/>
              <w:rPr>
                <w:sz w:val="18"/>
                <w:szCs w:val="18"/>
              </w:rPr>
            </w:pPr>
            <w:r>
              <w:rPr>
                <w:rFonts w:hint="eastAsia"/>
                <w:sz w:val="18"/>
                <w:szCs w:val="18"/>
              </w:rPr>
              <w:t>商品和服务支出</w:t>
            </w:r>
          </w:p>
        </w:tc>
        <w:tc>
          <w:tcPr>
            <w:tcW w:w="881" w:type="dxa"/>
            <w:vMerge w:val="restart"/>
            <w:shd w:val="clear" w:color="auto" w:fill="auto"/>
            <w:vAlign w:val="center"/>
          </w:tcPr>
          <w:p>
            <w:pPr>
              <w:jc w:val="center"/>
              <w:rPr>
                <w:sz w:val="18"/>
                <w:szCs w:val="18"/>
              </w:rPr>
            </w:pPr>
            <w:r>
              <w:rPr>
                <w:rFonts w:hint="eastAsia"/>
                <w:sz w:val="18"/>
                <w:szCs w:val="18"/>
              </w:rPr>
              <w:t>对个人和家庭的补助</w:t>
            </w:r>
          </w:p>
        </w:tc>
        <w:tc>
          <w:tcPr>
            <w:tcW w:w="881" w:type="dxa"/>
            <w:vMerge w:val="restart"/>
            <w:shd w:val="clear" w:color="auto" w:fill="auto"/>
            <w:vAlign w:val="center"/>
          </w:tcPr>
          <w:p>
            <w:pPr>
              <w:jc w:val="center"/>
              <w:rPr>
                <w:sz w:val="18"/>
                <w:szCs w:val="18"/>
              </w:rPr>
            </w:pPr>
            <w:r>
              <w:rPr>
                <w:rFonts w:hint="eastAsia"/>
                <w:sz w:val="18"/>
                <w:szCs w:val="18"/>
              </w:rPr>
              <w:t>债务利息及费用支出</w:t>
            </w:r>
          </w:p>
        </w:tc>
        <w:tc>
          <w:tcPr>
            <w:tcW w:w="881" w:type="dxa"/>
            <w:vMerge w:val="restart"/>
            <w:shd w:val="clear" w:color="auto" w:fill="auto"/>
            <w:vAlign w:val="center"/>
          </w:tcPr>
          <w:p>
            <w:pPr>
              <w:jc w:val="center"/>
              <w:rPr>
                <w:sz w:val="18"/>
                <w:szCs w:val="18"/>
              </w:rPr>
            </w:pPr>
            <w:r>
              <w:rPr>
                <w:rFonts w:hint="eastAsia"/>
                <w:sz w:val="18"/>
                <w:szCs w:val="18"/>
              </w:rPr>
              <w:t>资本性支出（基本建设）</w:t>
            </w:r>
          </w:p>
        </w:tc>
        <w:tc>
          <w:tcPr>
            <w:tcW w:w="881" w:type="dxa"/>
            <w:vMerge w:val="restart"/>
            <w:shd w:val="clear" w:color="auto" w:fill="auto"/>
            <w:vAlign w:val="center"/>
          </w:tcPr>
          <w:p>
            <w:pPr>
              <w:jc w:val="center"/>
              <w:rPr>
                <w:sz w:val="18"/>
                <w:szCs w:val="18"/>
              </w:rPr>
            </w:pPr>
            <w:r>
              <w:rPr>
                <w:rFonts w:hint="eastAsia"/>
                <w:sz w:val="18"/>
                <w:szCs w:val="18"/>
              </w:rPr>
              <w:t>资本性支出</w:t>
            </w:r>
          </w:p>
        </w:tc>
        <w:tc>
          <w:tcPr>
            <w:tcW w:w="882" w:type="dxa"/>
            <w:vMerge w:val="restart"/>
            <w:shd w:val="clear" w:color="auto" w:fill="auto"/>
            <w:vAlign w:val="center"/>
          </w:tcPr>
          <w:p>
            <w:pPr>
              <w:jc w:val="center"/>
              <w:rPr>
                <w:sz w:val="18"/>
                <w:szCs w:val="18"/>
              </w:rPr>
            </w:pPr>
            <w:r>
              <w:rPr>
                <w:rFonts w:hint="eastAsia"/>
                <w:sz w:val="18"/>
                <w:szCs w:val="18"/>
              </w:rPr>
              <w:t>对企业补助（基本建设）</w:t>
            </w:r>
          </w:p>
        </w:tc>
        <w:tc>
          <w:tcPr>
            <w:tcW w:w="783" w:type="dxa"/>
            <w:vMerge w:val="restart"/>
            <w:shd w:val="clear" w:color="auto" w:fill="auto"/>
            <w:vAlign w:val="center"/>
          </w:tcPr>
          <w:p>
            <w:pPr>
              <w:jc w:val="center"/>
              <w:rPr>
                <w:sz w:val="18"/>
                <w:szCs w:val="18"/>
              </w:rPr>
            </w:pPr>
            <w:r>
              <w:rPr>
                <w:rFonts w:hint="eastAsia"/>
                <w:sz w:val="18"/>
                <w:szCs w:val="18"/>
              </w:rPr>
              <w:t>对企业补助</w:t>
            </w:r>
          </w:p>
        </w:tc>
        <w:tc>
          <w:tcPr>
            <w:tcW w:w="981" w:type="dxa"/>
            <w:vMerge w:val="restart"/>
            <w:shd w:val="clear" w:color="auto" w:fill="auto"/>
            <w:vAlign w:val="center"/>
          </w:tcPr>
          <w:p>
            <w:pPr>
              <w:jc w:val="center"/>
              <w:rPr>
                <w:sz w:val="18"/>
                <w:szCs w:val="18"/>
              </w:rPr>
            </w:pPr>
            <w:r>
              <w:rPr>
                <w:rFonts w:hint="eastAsia"/>
                <w:sz w:val="18"/>
                <w:szCs w:val="18"/>
              </w:rPr>
              <w:t>对社会保障基金补助</w:t>
            </w:r>
          </w:p>
        </w:tc>
        <w:tc>
          <w:tcPr>
            <w:tcW w:w="882"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331" w:type="dxa"/>
            <w:shd w:val="clear" w:color="auto" w:fill="auto"/>
            <w:vAlign w:val="center"/>
          </w:tcPr>
          <w:p>
            <w:pPr>
              <w:jc w:val="center"/>
              <w:rPr>
                <w:sz w:val="18"/>
                <w:szCs w:val="18"/>
              </w:rPr>
            </w:pPr>
            <w:r>
              <w:rPr>
                <w:rFonts w:hint="eastAsia"/>
                <w:sz w:val="18"/>
                <w:szCs w:val="18"/>
              </w:rPr>
              <w:t>项</w:t>
            </w:r>
          </w:p>
        </w:tc>
        <w:tc>
          <w:tcPr>
            <w:tcW w:w="2073" w:type="dxa"/>
            <w:vMerge w:val="continue"/>
            <w:shd w:val="clear" w:color="auto" w:fill="auto"/>
            <w:vAlign w:val="center"/>
          </w:tcPr>
          <w:p>
            <w:pPr>
              <w:jc w:val="center"/>
              <w:rPr>
                <w:sz w:val="18"/>
                <w:szCs w:val="18"/>
              </w:rPr>
            </w:pPr>
          </w:p>
        </w:tc>
        <w:tc>
          <w:tcPr>
            <w:tcW w:w="2073"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2" w:type="dxa"/>
            <w:vMerge w:val="continue"/>
            <w:shd w:val="clear" w:color="auto" w:fill="auto"/>
          </w:tcPr>
          <w:p>
            <w:pPr>
              <w:jc w:val="center"/>
              <w:rPr>
                <w:sz w:val="18"/>
                <w:szCs w:val="18"/>
              </w:rPr>
            </w:pPr>
          </w:p>
        </w:tc>
        <w:tc>
          <w:tcPr>
            <w:tcW w:w="783" w:type="dxa"/>
            <w:vMerge w:val="continue"/>
            <w:shd w:val="clear" w:color="auto" w:fill="auto"/>
            <w:vAlign w:val="center"/>
          </w:tcPr>
          <w:p>
            <w:pPr>
              <w:jc w:val="center"/>
              <w:rPr>
                <w:sz w:val="18"/>
                <w:szCs w:val="18"/>
              </w:rPr>
            </w:pPr>
          </w:p>
        </w:tc>
        <w:tc>
          <w:tcPr>
            <w:tcW w:w="981" w:type="dxa"/>
            <w:vMerge w:val="continue"/>
            <w:shd w:val="clear" w:color="auto" w:fill="auto"/>
          </w:tcPr>
          <w:p>
            <w:pPr>
              <w:jc w:val="center"/>
              <w:rPr>
                <w:sz w:val="18"/>
                <w:szCs w:val="18"/>
              </w:rPr>
            </w:pPr>
          </w:p>
        </w:tc>
        <w:tc>
          <w:tcPr>
            <w:tcW w:w="882"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shd w:val="clear" w:color="auto" w:fill="auto"/>
            <w:vAlign w:val="center"/>
          </w:tcPr>
          <w:p>
            <w:pPr>
              <w:jc w:val="center"/>
              <w:rPr>
                <w:sz w:val="18"/>
                <w:szCs w:val="18"/>
              </w:rPr>
            </w:pPr>
            <w:r>
              <w:rPr>
                <w:rFonts w:hint="eastAsia"/>
                <w:color w:val="000000"/>
                <w:sz w:val="18"/>
                <w:szCs w:val="18"/>
              </w:rPr>
              <w:t>※</w:t>
            </w:r>
          </w:p>
        </w:tc>
        <w:tc>
          <w:tcPr>
            <w:tcW w:w="260" w:type="dxa"/>
            <w:shd w:val="clear" w:color="auto" w:fill="auto"/>
            <w:vAlign w:val="center"/>
          </w:tcPr>
          <w:p>
            <w:pPr>
              <w:jc w:val="center"/>
              <w:rPr>
                <w:sz w:val="18"/>
                <w:szCs w:val="18"/>
              </w:rPr>
            </w:pPr>
            <w:r>
              <w:rPr>
                <w:rFonts w:hint="eastAsia"/>
                <w:color w:val="000000"/>
                <w:sz w:val="18"/>
                <w:szCs w:val="18"/>
              </w:rPr>
              <w:t>※</w:t>
            </w:r>
          </w:p>
        </w:tc>
        <w:tc>
          <w:tcPr>
            <w:tcW w:w="331"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881" w:type="dxa"/>
            <w:shd w:val="clear" w:color="auto" w:fill="auto"/>
            <w:vAlign w:val="center"/>
          </w:tcPr>
          <w:p>
            <w:pPr>
              <w:jc w:val="center"/>
              <w:rPr>
                <w:sz w:val="18"/>
                <w:szCs w:val="18"/>
              </w:rPr>
            </w:pPr>
            <w:r>
              <w:rPr>
                <w:rFonts w:hint="eastAsia"/>
                <w:sz w:val="18"/>
                <w:szCs w:val="18"/>
              </w:rPr>
              <w:t>1</w:t>
            </w:r>
          </w:p>
        </w:tc>
        <w:tc>
          <w:tcPr>
            <w:tcW w:w="881" w:type="dxa"/>
            <w:shd w:val="clear" w:color="auto" w:fill="auto"/>
            <w:vAlign w:val="center"/>
          </w:tcPr>
          <w:p>
            <w:pPr>
              <w:jc w:val="center"/>
              <w:rPr>
                <w:sz w:val="18"/>
                <w:szCs w:val="18"/>
              </w:rPr>
            </w:pPr>
            <w:r>
              <w:rPr>
                <w:rFonts w:hint="eastAsia"/>
                <w:sz w:val="18"/>
                <w:szCs w:val="18"/>
              </w:rPr>
              <w:t>2</w:t>
            </w:r>
          </w:p>
        </w:tc>
        <w:tc>
          <w:tcPr>
            <w:tcW w:w="881" w:type="dxa"/>
            <w:shd w:val="clear" w:color="auto" w:fill="auto"/>
            <w:vAlign w:val="center"/>
          </w:tcPr>
          <w:p>
            <w:pPr>
              <w:jc w:val="center"/>
              <w:rPr>
                <w:sz w:val="18"/>
                <w:szCs w:val="18"/>
              </w:rPr>
            </w:pPr>
            <w:r>
              <w:rPr>
                <w:rFonts w:hint="eastAsia"/>
                <w:sz w:val="18"/>
                <w:szCs w:val="18"/>
              </w:rPr>
              <w:t>3</w:t>
            </w:r>
          </w:p>
        </w:tc>
        <w:tc>
          <w:tcPr>
            <w:tcW w:w="881" w:type="dxa"/>
            <w:shd w:val="clear" w:color="auto" w:fill="auto"/>
            <w:vAlign w:val="center"/>
          </w:tcPr>
          <w:p>
            <w:pPr>
              <w:jc w:val="center"/>
              <w:rPr>
                <w:sz w:val="18"/>
                <w:szCs w:val="18"/>
              </w:rPr>
            </w:pPr>
            <w:r>
              <w:rPr>
                <w:rFonts w:hint="eastAsia"/>
                <w:sz w:val="18"/>
                <w:szCs w:val="18"/>
              </w:rPr>
              <w:t>4</w:t>
            </w:r>
          </w:p>
        </w:tc>
        <w:tc>
          <w:tcPr>
            <w:tcW w:w="881" w:type="dxa"/>
            <w:shd w:val="clear" w:color="auto" w:fill="auto"/>
            <w:vAlign w:val="center"/>
          </w:tcPr>
          <w:p>
            <w:pPr>
              <w:jc w:val="center"/>
              <w:rPr>
                <w:sz w:val="18"/>
                <w:szCs w:val="18"/>
              </w:rPr>
            </w:pPr>
            <w:r>
              <w:rPr>
                <w:rFonts w:hint="eastAsia"/>
                <w:sz w:val="18"/>
                <w:szCs w:val="18"/>
              </w:rPr>
              <w:t>5</w:t>
            </w:r>
          </w:p>
        </w:tc>
        <w:tc>
          <w:tcPr>
            <w:tcW w:w="881" w:type="dxa"/>
            <w:shd w:val="clear" w:color="auto" w:fill="auto"/>
            <w:vAlign w:val="center"/>
          </w:tcPr>
          <w:p>
            <w:pPr>
              <w:jc w:val="center"/>
              <w:rPr>
                <w:sz w:val="18"/>
                <w:szCs w:val="18"/>
              </w:rPr>
            </w:pPr>
            <w:r>
              <w:rPr>
                <w:rFonts w:hint="eastAsia"/>
                <w:sz w:val="18"/>
                <w:szCs w:val="18"/>
              </w:rPr>
              <w:t>6</w:t>
            </w:r>
          </w:p>
        </w:tc>
        <w:tc>
          <w:tcPr>
            <w:tcW w:w="881" w:type="dxa"/>
            <w:shd w:val="clear" w:color="auto" w:fill="auto"/>
            <w:vAlign w:val="center"/>
          </w:tcPr>
          <w:p>
            <w:pPr>
              <w:jc w:val="center"/>
              <w:rPr>
                <w:sz w:val="18"/>
                <w:szCs w:val="18"/>
              </w:rPr>
            </w:pPr>
            <w:r>
              <w:rPr>
                <w:rFonts w:hint="eastAsia"/>
                <w:sz w:val="18"/>
                <w:szCs w:val="18"/>
              </w:rPr>
              <w:t>7</w:t>
            </w:r>
          </w:p>
        </w:tc>
        <w:tc>
          <w:tcPr>
            <w:tcW w:w="882" w:type="dxa"/>
            <w:shd w:val="clear" w:color="auto" w:fill="auto"/>
            <w:vAlign w:val="center"/>
          </w:tcPr>
          <w:p>
            <w:pPr>
              <w:jc w:val="center"/>
              <w:rPr>
                <w:sz w:val="18"/>
                <w:szCs w:val="18"/>
              </w:rPr>
            </w:pPr>
            <w:r>
              <w:rPr>
                <w:rFonts w:hint="eastAsia"/>
                <w:sz w:val="18"/>
                <w:szCs w:val="18"/>
              </w:rPr>
              <w:t>8</w:t>
            </w:r>
          </w:p>
        </w:tc>
        <w:tc>
          <w:tcPr>
            <w:tcW w:w="783" w:type="dxa"/>
            <w:shd w:val="clear" w:color="auto" w:fill="auto"/>
            <w:vAlign w:val="center"/>
          </w:tcPr>
          <w:p>
            <w:pPr>
              <w:jc w:val="center"/>
              <w:rPr>
                <w:sz w:val="18"/>
                <w:szCs w:val="18"/>
              </w:rPr>
            </w:pPr>
            <w:r>
              <w:rPr>
                <w:rFonts w:hint="eastAsia"/>
                <w:sz w:val="18"/>
                <w:szCs w:val="18"/>
              </w:rPr>
              <w:t>9</w:t>
            </w:r>
          </w:p>
        </w:tc>
        <w:tc>
          <w:tcPr>
            <w:tcW w:w="981" w:type="dxa"/>
            <w:shd w:val="clear" w:color="auto" w:fill="auto"/>
            <w:vAlign w:val="center"/>
          </w:tcPr>
          <w:p>
            <w:pPr>
              <w:jc w:val="center"/>
              <w:rPr>
                <w:sz w:val="18"/>
                <w:szCs w:val="18"/>
              </w:rPr>
            </w:pPr>
            <w:r>
              <w:rPr>
                <w:rFonts w:hint="eastAsia"/>
                <w:sz w:val="18"/>
                <w:szCs w:val="18"/>
              </w:rPr>
              <w:t>10</w:t>
            </w:r>
          </w:p>
        </w:tc>
        <w:tc>
          <w:tcPr>
            <w:tcW w:w="882" w:type="dxa"/>
            <w:shd w:val="clear" w:color="auto" w:fill="auto"/>
            <w:vAlign w:val="center"/>
          </w:tcPr>
          <w:p>
            <w:pPr>
              <w:jc w:val="center"/>
              <w:rPr>
                <w:sz w:val="18"/>
                <w:szCs w:val="18"/>
              </w:rPr>
            </w:pPr>
            <w:r>
              <w:rPr>
                <w:rFonts w:hint="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331" w:type="dxa"/>
            <w:shd w:val="clear" w:color="auto" w:fill="auto"/>
            <w:vAlign w:val="center"/>
          </w:tcPr>
          <w:p>
            <w:pPr>
              <w:jc w:val="center"/>
              <w:rPr>
                <w:sz w:val="18"/>
                <w:szCs w:val="18"/>
              </w:rPr>
            </w:pPr>
          </w:p>
        </w:tc>
        <w:tc>
          <w:tcPr>
            <w:tcW w:w="2073" w:type="dxa"/>
            <w:shd w:val="clear" w:color="auto" w:fill="auto"/>
            <w:vAlign w:val="center"/>
          </w:tcPr>
          <w:p>
            <w:pPr>
              <w:jc w:val="left"/>
              <w:rPr>
                <w:sz w:val="18"/>
                <w:szCs w:val="18"/>
              </w:rPr>
            </w:pPr>
          </w:p>
        </w:tc>
        <w:tc>
          <w:tcPr>
            <w:tcW w:w="2073" w:type="dxa"/>
            <w:shd w:val="clear" w:color="auto" w:fill="auto"/>
            <w:vAlign w:val="center"/>
          </w:tcPr>
          <w:p>
            <w:pPr>
              <w:jc w:val="left"/>
              <w:rPr>
                <w:sz w:val="18"/>
                <w:szCs w:val="18"/>
              </w:rPr>
            </w:pPr>
          </w:p>
        </w:tc>
        <w:tc>
          <w:tcPr>
            <w:tcW w:w="881" w:type="dxa"/>
            <w:shd w:val="clear" w:color="auto" w:fill="auto"/>
            <w:vAlign w:val="center"/>
          </w:tcPr>
          <w:p>
            <w:pPr>
              <w:ind w:right="-29" w:rightChars="-14"/>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331" w:type="dxa"/>
            <w:shd w:val="clear" w:color="auto" w:fill="auto"/>
            <w:vAlign w:val="center"/>
          </w:tcPr>
          <w:p>
            <w:pPr>
              <w:jc w:val="center"/>
              <w:rPr>
                <w:sz w:val="18"/>
                <w:szCs w:val="18"/>
              </w:rPr>
            </w:pPr>
          </w:p>
        </w:tc>
        <w:tc>
          <w:tcPr>
            <w:tcW w:w="2073" w:type="dxa"/>
            <w:shd w:val="clear" w:color="auto" w:fill="auto"/>
            <w:vAlign w:val="center"/>
          </w:tcPr>
          <w:p>
            <w:pPr>
              <w:jc w:val="left"/>
              <w:rPr>
                <w:sz w:val="18"/>
                <w:szCs w:val="18"/>
              </w:rPr>
            </w:pPr>
          </w:p>
        </w:tc>
        <w:tc>
          <w:tcPr>
            <w:tcW w:w="2073" w:type="dxa"/>
            <w:shd w:val="clear" w:color="auto" w:fill="auto"/>
            <w:vAlign w:val="center"/>
          </w:tcPr>
          <w:p>
            <w:pPr>
              <w:jc w:val="left"/>
              <w:rPr>
                <w:sz w:val="18"/>
                <w:szCs w:val="18"/>
              </w:rPr>
            </w:pPr>
          </w:p>
        </w:tc>
        <w:tc>
          <w:tcPr>
            <w:tcW w:w="881" w:type="dxa"/>
            <w:shd w:val="clear" w:color="auto" w:fill="auto"/>
            <w:vAlign w:val="center"/>
          </w:tcPr>
          <w:p>
            <w:pPr>
              <w:ind w:right="-29" w:rightChars="-14"/>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331" w:type="dxa"/>
            <w:shd w:val="clear" w:color="auto" w:fill="auto"/>
            <w:vAlign w:val="center"/>
          </w:tcPr>
          <w:p>
            <w:pPr>
              <w:jc w:val="center"/>
              <w:rPr>
                <w:sz w:val="18"/>
                <w:szCs w:val="18"/>
              </w:rPr>
            </w:pPr>
          </w:p>
        </w:tc>
        <w:tc>
          <w:tcPr>
            <w:tcW w:w="2073" w:type="dxa"/>
            <w:shd w:val="clear" w:color="auto" w:fill="auto"/>
            <w:vAlign w:val="center"/>
          </w:tcPr>
          <w:p>
            <w:pPr>
              <w:jc w:val="left"/>
              <w:rPr>
                <w:sz w:val="18"/>
                <w:szCs w:val="18"/>
              </w:rPr>
            </w:pPr>
          </w:p>
        </w:tc>
        <w:tc>
          <w:tcPr>
            <w:tcW w:w="2073" w:type="dxa"/>
            <w:shd w:val="clear" w:color="auto" w:fill="auto"/>
            <w:vAlign w:val="center"/>
          </w:tcPr>
          <w:p>
            <w:pPr>
              <w:jc w:val="left"/>
              <w:rPr>
                <w:sz w:val="18"/>
                <w:szCs w:val="18"/>
              </w:rPr>
            </w:pPr>
          </w:p>
        </w:tc>
        <w:tc>
          <w:tcPr>
            <w:tcW w:w="881" w:type="dxa"/>
            <w:shd w:val="clear" w:color="auto" w:fill="auto"/>
            <w:vAlign w:val="center"/>
          </w:tcPr>
          <w:p>
            <w:pPr>
              <w:ind w:right="-29" w:rightChars="-14"/>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331" w:type="dxa"/>
            <w:shd w:val="clear" w:color="auto" w:fill="auto"/>
            <w:vAlign w:val="center"/>
          </w:tcPr>
          <w:p>
            <w:pPr>
              <w:jc w:val="center"/>
              <w:rPr>
                <w:sz w:val="18"/>
                <w:szCs w:val="18"/>
              </w:rPr>
            </w:pPr>
          </w:p>
        </w:tc>
        <w:tc>
          <w:tcPr>
            <w:tcW w:w="2073" w:type="dxa"/>
            <w:shd w:val="clear" w:color="auto" w:fill="auto"/>
            <w:vAlign w:val="center"/>
          </w:tcPr>
          <w:p>
            <w:pPr>
              <w:jc w:val="left"/>
              <w:rPr>
                <w:sz w:val="18"/>
                <w:szCs w:val="18"/>
              </w:rPr>
            </w:pPr>
          </w:p>
        </w:tc>
        <w:tc>
          <w:tcPr>
            <w:tcW w:w="2073" w:type="dxa"/>
            <w:shd w:val="clear" w:color="auto" w:fill="auto"/>
            <w:vAlign w:val="center"/>
          </w:tcPr>
          <w:p>
            <w:pPr>
              <w:jc w:val="left"/>
              <w:rPr>
                <w:sz w:val="18"/>
                <w:szCs w:val="18"/>
              </w:rPr>
            </w:pPr>
          </w:p>
        </w:tc>
        <w:tc>
          <w:tcPr>
            <w:tcW w:w="881" w:type="dxa"/>
            <w:shd w:val="clear" w:color="auto" w:fill="auto"/>
            <w:vAlign w:val="center"/>
          </w:tcPr>
          <w:p>
            <w:pPr>
              <w:ind w:right="-29" w:rightChars="-14"/>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331" w:type="dxa"/>
            <w:shd w:val="clear" w:color="auto" w:fill="auto"/>
            <w:vAlign w:val="center"/>
          </w:tcPr>
          <w:p>
            <w:pPr>
              <w:jc w:val="center"/>
              <w:rPr>
                <w:sz w:val="18"/>
                <w:szCs w:val="18"/>
              </w:rPr>
            </w:pPr>
          </w:p>
        </w:tc>
        <w:tc>
          <w:tcPr>
            <w:tcW w:w="2073" w:type="dxa"/>
            <w:shd w:val="clear" w:color="auto" w:fill="auto"/>
            <w:vAlign w:val="center"/>
          </w:tcPr>
          <w:p>
            <w:pPr>
              <w:jc w:val="left"/>
              <w:rPr>
                <w:sz w:val="18"/>
                <w:szCs w:val="18"/>
              </w:rPr>
            </w:pPr>
          </w:p>
        </w:tc>
        <w:tc>
          <w:tcPr>
            <w:tcW w:w="2073" w:type="dxa"/>
            <w:shd w:val="clear" w:color="auto" w:fill="auto"/>
            <w:vAlign w:val="center"/>
          </w:tcPr>
          <w:p>
            <w:pPr>
              <w:jc w:val="left"/>
              <w:rPr>
                <w:sz w:val="18"/>
                <w:szCs w:val="18"/>
              </w:rPr>
            </w:pPr>
          </w:p>
        </w:tc>
        <w:tc>
          <w:tcPr>
            <w:tcW w:w="881" w:type="dxa"/>
            <w:shd w:val="clear" w:color="auto" w:fill="auto"/>
            <w:vAlign w:val="center"/>
          </w:tcPr>
          <w:p>
            <w:pPr>
              <w:ind w:right="-29" w:rightChars="-14"/>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bl>
    <w:p>
      <w:pPr>
        <w:widowControl/>
        <w:jc w:val="left"/>
        <w:rPr>
          <w:rFonts w:ascii="仿宋" w:eastAsia="仿宋"/>
          <w:b/>
          <w:color w:val="000000"/>
          <w:szCs w:val="21"/>
        </w:rPr>
      </w:pPr>
      <w:r>
        <w:rPr>
          <w:rFonts w:hint="eastAsia" w:ascii="仿宋" w:eastAsia="仿宋"/>
          <w:b/>
          <w:color w:val="000000"/>
          <w:szCs w:val="21"/>
        </w:rPr>
        <w:t>额敏县科学技术协会</w:t>
      </w:r>
      <w:r>
        <w:rPr>
          <w:rFonts w:hint="eastAsia" w:ascii="仿宋" w:eastAsia="仿宋"/>
          <w:b/>
          <w:color w:val="000000"/>
          <w:szCs w:val="21"/>
          <w:lang w:eastAsia="zh-CN"/>
        </w:rPr>
        <w:t>2026</w:t>
      </w:r>
      <w:r>
        <w:rPr>
          <w:rFonts w:hint="eastAsia" w:ascii="仿宋" w:eastAsia="仿宋"/>
          <w:b/>
          <w:color w:val="000000"/>
          <w:szCs w:val="21"/>
        </w:rPr>
        <w:t>年没有使用一般公共预算安排项目支出，一般公共预算项目支出情况表为空表。</w:t>
      </w:r>
    </w:p>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6"/>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编制部门：额敏县科学技术协会</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ascii="仿宋" w:eastAsia="仿宋"/>
          <w:b/>
          <w:color w:val="000000"/>
          <w:szCs w:val="21"/>
        </w:rPr>
      </w:pPr>
      <w:r>
        <w:rPr>
          <w:rFonts w:hint="eastAsia" w:ascii="仿宋" w:eastAsia="仿宋"/>
          <w:b/>
          <w:color w:val="000000"/>
          <w:szCs w:val="21"/>
        </w:rPr>
        <w:t>额敏县科学技术协会</w:t>
      </w:r>
      <w:r>
        <w:rPr>
          <w:rFonts w:hint="eastAsia" w:ascii="仿宋" w:eastAsia="仿宋"/>
          <w:b/>
          <w:color w:val="000000"/>
          <w:szCs w:val="21"/>
          <w:lang w:eastAsia="zh-CN"/>
        </w:rPr>
        <w:t>2026</w:t>
      </w:r>
      <w:r>
        <w:rPr>
          <w:rFonts w:hint="eastAsia" w:ascii="仿宋" w:eastAsia="仿宋"/>
          <w:b/>
          <w:color w:val="000000"/>
          <w:szCs w:val="21"/>
        </w:rPr>
        <w:t>年没有使用政府性基金预算拨款安排的支出，政府性基金预算支出情况表为空表。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6"/>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编制部门：额敏县科学技术协会</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ascii="仿宋" w:eastAsia="仿宋"/>
          <w:b/>
          <w:color w:val="000000"/>
          <w:szCs w:val="21"/>
        </w:rPr>
      </w:pPr>
      <w:r>
        <w:rPr>
          <w:rFonts w:hint="eastAsia" w:ascii="仿宋" w:eastAsia="仿宋"/>
          <w:b/>
          <w:color w:val="000000"/>
          <w:szCs w:val="21"/>
        </w:rPr>
        <w:t>额敏县科学技术协会</w:t>
      </w:r>
      <w:r>
        <w:rPr>
          <w:rFonts w:hint="eastAsia" w:ascii="仿宋" w:eastAsia="仿宋"/>
          <w:b/>
          <w:color w:val="000000"/>
          <w:szCs w:val="21"/>
          <w:lang w:eastAsia="zh-CN"/>
        </w:rPr>
        <w:t>2026</w:t>
      </w:r>
      <w:r>
        <w:rPr>
          <w:rFonts w:hint="eastAsia" w:ascii="仿宋" w:eastAsia="仿宋"/>
          <w:b/>
          <w:color w:val="000000"/>
          <w:szCs w:val="21"/>
        </w:rPr>
        <w:t>年没有使用国有资本经营预算拨款安排的支出，国有资本经营预算支出情况表为空表。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6"/>
        <w:tblW w:w="97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163"/>
        <w:gridCol w:w="1396"/>
        <w:gridCol w:w="1396"/>
        <w:gridCol w:w="1363"/>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8318" w:type="dxa"/>
            <w:gridSpan w:val="4"/>
            <w:tcBorders>
              <w:top w:val="nil"/>
              <w:left w:val="nil"/>
              <w:right w:val="nil"/>
            </w:tcBorders>
            <w:shd w:val="clear" w:color="auto" w:fill="auto"/>
            <w:vAlign w:val="center"/>
          </w:tcPr>
          <w:p>
            <w:pPr>
              <w:jc w:val="left"/>
              <w:rPr>
                <w:rFonts w:ascii="宋体" w:hAnsi="宋体"/>
                <w:sz w:val="18"/>
                <w:szCs w:val="18"/>
              </w:rPr>
            </w:pPr>
            <w:r>
              <w:rPr>
                <w:rFonts w:hint="eastAsia"/>
                <w:color w:val="000000"/>
                <w:sz w:val="18"/>
                <w:szCs w:val="18"/>
              </w:rPr>
              <w:t>编制部门：额敏县科学技术协会</w:t>
            </w:r>
          </w:p>
        </w:tc>
        <w:tc>
          <w:tcPr>
            <w:tcW w:w="1395" w:type="dxa"/>
            <w:tcBorders>
              <w:top w:val="nil"/>
              <w:left w:val="nil"/>
              <w:right w:val="nil"/>
            </w:tcBorders>
            <w:shd w:val="clear" w:color="auto" w:fill="auto"/>
            <w:vAlign w:val="center"/>
          </w:tcPr>
          <w:p>
            <w:pPr>
              <w:jc w:val="right"/>
              <w:rPr>
                <w:rFonts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163" w:type="dxa"/>
            <w:vMerge w:val="restart"/>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“三公”经费支出内容</w:t>
            </w:r>
          </w:p>
        </w:tc>
        <w:tc>
          <w:tcPr>
            <w:tcW w:w="1396" w:type="dxa"/>
            <w:vMerge w:val="restart"/>
            <w:shd w:val="clear" w:color="auto" w:fill="auto"/>
            <w:vAlign w:val="center"/>
          </w:tcPr>
          <w:p>
            <w:pPr>
              <w:jc w:val="center"/>
              <w:rPr>
                <w:rFonts w:ascii="宋体" w:hAnsi="宋体"/>
                <w:color w:val="000000"/>
                <w:sz w:val="18"/>
                <w:szCs w:val="18"/>
              </w:rPr>
            </w:pPr>
            <w:r>
              <w:rPr>
                <w:rFonts w:hint="eastAsia" w:ascii="宋体" w:hAnsi="宋体"/>
                <w:sz w:val="18"/>
                <w:szCs w:val="18"/>
              </w:rPr>
              <w:t>合计</w:t>
            </w:r>
          </w:p>
        </w:tc>
        <w:tc>
          <w:tcPr>
            <w:tcW w:w="4154" w:type="dxa"/>
            <w:gridSpan w:val="3"/>
            <w:shd w:val="clear" w:color="auto" w:fill="auto"/>
            <w:vAlign w:val="center"/>
          </w:tcPr>
          <w:p>
            <w:pPr>
              <w:jc w:val="center"/>
              <w:rPr>
                <w:rFonts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163" w:type="dxa"/>
            <w:vMerge w:val="continue"/>
            <w:shd w:val="clear" w:color="auto" w:fill="auto"/>
            <w:vAlign w:val="center"/>
          </w:tcPr>
          <w:p>
            <w:pPr>
              <w:jc w:val="center"/>
              <w:rPr>
                <w:rFonts w:ascii="宋体" w:hAnsi="宋体"/>
                <w:color w:val="000000"/>
                <w:sz w:val="18"/>
                <w:szCs w:val="18"/>
              </w:rPr>
            </w:pPr>
          </w:p>
        </w:tc>
        <w:tc>
          <w:tcPr>
            <w:tcW w:w="1396" w:type="dxa"/>
            <w:vMerge w:val="continue"/>
            <w:shd w:val="clear" w:color="auto" w:fill="auto"/>
            <w:vAlign w:val="center"/>
          </w:tcPr>
          <w:p>
            <w:pPr>
              <w:jc w:val="center"/>
              <w:rPr>
                <w:rFonts w:ascii="宋体" w:hAnsi="宋体"/>
                <w:color w:val="000000"/>
                <w:sz w:val="18"/>
                <w:szCs w:val="18"/>
              </w:rPr>
            </w:pPr>
          </w:p>
        </w:tc>
        <w:tc>
          <w:tcPr>
            <w:tcW w:w="1396" w:type="dxa"/>
            <w:shd w:val="clear" w:color="auto" w:fill="auto"/>
            <w:vAlign w:val="center"/>
          </w:tcPr>
          <w:p>
            <w:pPr>
              <w:jc w:val="center"/>
              <w:rPr>
                <w:rFonts w:ascii="宋体" w:hAnsi="宋体"/>
                <w:sz w:val="18"/>
                <w:szCs w:val="18"/>
              </w:rPr>
            </w:pPr>
            <w:r>
              <w:rPr>
                <w:rFonts w:hint="eastAsia" w:ascii="宋体" w:hAnsi="宋体"/>
                <w:sz w:val="18"/>
                <w:szCs w:val="18"/>
              </w:rPr>
              <w:t>一般公共预算</w:t>
            </w:r>
          </w:p>
        </w:tc>
        <w:tc>
          <w:tcPr>
            <w:tcW w:w="1363" w:type="dxa"/>
            <w:shd w:val="clear" w:color="auto" w:fill="auto"/>
            <w:vAlign w:val="center"/>
          </w:tcPr>
          <w:p>
            <w:pPr>
              <w:jc w:val="center"/>
              <w:rPr>
                <w:rFonts w:ascii="宋体" w:hAnsi="宋体"/>
                <w:sz w:val="18"/>
                <w:szCs w:val="18"/>
              </w:rPr>
            </w:pPr>
            <w:r>
              <w:rPr>
                <w:rFonts w:hint="eastAsia" w:ascii="宋体" w:hAnsi="宋体"/>
                <w:sz w:val="18"/>
                <w:szCs w:val="18"/>
              </w:rPr>
              <w:t>政府性基金</w:t>
            </w:r>
          </w:p>
        </w:tc>
        <w:tc>
          <w:tcPr>
            <w:tcW w:w="1395" w:type="dxa"/>
            <w:shd w:val="clear" w:color="auto" w:fill="auto"/>
            <w:vAlign w:val="center"/>
          </w:tcPr>
          <w:p>
            <w:pPr>
              <w:jc w:val="center"/>
              <w:rPr>
                <w:rFonts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163" w:type="dxa"/>
            <w:shd w:val="clear" w:color="auto" w:fill="auto"/>
            <w:vAlign w:val="center"/>
          </w:tcPr>
          <w:p>
            <w:pPr>
              <w:jc w:val="center"/>
              <w:rPr>
                <w:rFonts w:ascii="宋体" w:hAnsi="宋体"/>
                <w:color w:val="000000"/>
                <w:sz w:val="18"/>
                <w:szCs w:val="18"/>
              </w:rPr>
            </w:pPr>
            <w:r>
              <w:rPr>
                <w:rFonts w:hint="eastAsia"/>
                <w:color w:val="000000"/>
                <w:sz w:val="18"/>
                <w:szCs w:val="18"/>
              </w:rPr>
              <w:t>※</w:t>
            </w:r>
          </w:p>
        </w:tc>
        <w:tc>
          <w:tcPr>
            <w:tcW w:w="139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1</w:t>
            </w:r>
          </w:p>
        </w:tc>
        <w:tc>
          <w:tcPr>
            <w:tcW w:w="139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2</w:t>
            </w:r>
          </w:p>
        </w:tc>
        <w:tc>
          <w:tcPr>
            <w:tcW w:w="136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3</w:t>
            </w:r>
          </w:p>
        </w:tc>
        <w:tc>
          <w:tcPr>
            <w:tcW w:w="139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b/>
                <w:kern w:val="0"/>
                <w:sz w:val="18"/>
                <w:szCs w:val="18"/>
              </w:rPr>
              <w:t>合计</w:t>
            </w:r>
          </w:p>
        </w:tc>
        <w:tc>
          <w:tcPr>
            <w:tcW w:w="1396" w:type="dxa"/>
            <w:shd w:val="clear" w:color="auto" w:fill="auto"/>
            <w:vAlign w:val="center"/>
          </w:tcPr>
          <w:p>
            <w:pPr>
              <w:jc w:val="right"/>
              <w:rPr>
                <w:rFonts w:ascii="宋体" w:hAnsi="宋体"/>
                <w:color w:val="000000"/>
                <w:sz w:val="18"/>
                <w:szCs w:val="18"/>
              </w:rPr>
            </w:pPr>
            <w:r>
              <w:rPr>
                <w:rFonts w:ascii="宋体" w:hAnsi="宋体"/>
                <w:b/>
                <w:kern w:val="0"/>
                <w:sz w:val="18"/>
                <w:szCs w:val="18"/>
              </w:rPr>
              <w:t>0.48</w:t>
            </w:r>
          </w:p>
        </w:tc>
        <w:tc>
          <w:tcPr>
            <w:tcW w:w="1396" w:type="dxa"/>
            <w:shd w:val="clear" w:color="auto" w:fill="auto"/>
            <w:vAlign w:val="center"/>
          </w:tcPr>
          <w:p>
            <w:pPr>
              <w:jc w:val="right"/>
              <w:rPr>
                <w:rFonts w:ascii="宋体" w:hAnsi="宋体"/>
                <w:color w:val="000000"/>
                <w:sz w:val="18"/>
                <w:szCs w:val="18"/>
              </w:rPr>
            </w:pPr>
            <w:r>
              <w:rPr>
                <w:rFonts w:ascii="宋体" w:hAnsi="宋体"/>
                <w:b/>
                <w:kern w:val="0"/>
                <w:sz w:val="18"/>
                <w:szCs w:val="18"/>
              </w:rPr>
              <w:t>0.48</w:t>
            </w: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kern w:val="0"/>
                <w:sz w:val="18"/>
                <w:szCs w:val="18"/>
              </w:rPr>
              <w:t>因公出国（境）费</w:t>
            </w:r>
          </w:p>
        </w:tc>
        <w:tc>
          <w:tcPr>
            <w:tcW w:w="1396" w:type="dxa"/>
            <w:shd w:val="clear" w:color="auto" w:fill="auto"/>
            <w:vAlign w:val="center"/>
          </w:tcPr>
          <w:p>
            <w:pPr>
              <w:jc w:val="right"/>
              <w:rPr>
                <w:rFonts w:ascii="宋体" w:hAnsi="宋体"/>
                <w:color w:val="000000"/>
                <w:sz w:val="18"/>
                <w:szCs w:val="18"/>
              </w:rPr>
            </w:pPr>
          </w:p>
        </w:tc>
        <w:tc>
          <w:tcPr>
            <w:tcW w:w="1396" w:type="dxa"/>
            <w:shd w:val="clear" w:color="auto" w:fill="auto"/>
            <w:vAlign w:val="center"/>
          </w:tcPr>
          <w:p>
            <w:pPr>
              <w:jc w:val="right"/>
              <w:rPr>
                <w:rFonts w:ascii="宋体" w:hAnsi="宋体"/>
                <w:color w:val="000000"/>
                <w:sz w:val="18"/>
                <w:szCs w:val="18"/>
              </w:rPr>
            </w:pP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kern w:val="0"/>
                <w:sz w:val="18"/>
                <w:szCs w:val="18"/>
              </w:rPr>
              <w:t>公务接待费</w:t>
            </w:r>
          </w:p>
        </w:tc>
        <w:tc>
          <w:tcPr>
            <w:tcW w:w="1396" w:type="dxa"/>
            <w:shd w:val="clear" w:color="auto" w:fill="auto"/>
            <w:vAlign w:val="center"/>
          </w:tcPr>
          <w:p>
            <w:pPr>
              <w:jc w:val="right"/>
              <w:rPr>
                <w:rFonts w:ascii="宋体" w:hAnsi="宋体"/>
                <w:color w:val="000000"/>
                <w:sz w:val="18"/>
                <w:szCs w:val="18"/>
              </w:rPr>
            </w:pPr>
          </w:p>
        </w:tc>
        <w:tc>
          <w:tcPr>
            <w:tcW w:w="1396" w:type="dxa"/>
            <w:shd w:val="clear" w:color="auto" w:fill="auto"/>
            <w:vAlign w:val="center"/>
          </w:tcPr>
          <w:p>
            <w:pPr>
              <w:jc w:val="right"/>
              <w:rPr>
                <w:rFonts w:ascii="宋体" w:hAnsi="宋体"/>
                <w:color w:val="000000"/>
                <w:sz w:val="18"/>
                <w:szCs w:val="18"/>
              </w:rPr>
            </w:pP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b/>
                <w:kern w:val="0"/>
                <w:sz w:val="18"/>
                <w:szCs w:val="18"/>
              </w:rPr>
              <w:t>公务用车购置及运行费（小计）</w:t>
            </w:r>
          </w:p>
        </w:tc>
        <w:tc>
          <w:tcPr>
            <w:tcW w:w="1396" w:type="dxa"/>
            <w:shd w:val="clear" w:color="auto" w:fill="auto"/>
            <w:vAlign w:val="center"/>
          </w:tcPr>
          <w:p>
            <w:pPr>
              <w:jc w:val="right"/>
              <w:rPr>
                <w:rFonts w:ascii="宋体" w:hAnsi="宋体"/>
                <w:color w:val="000000"/>
                <w:sz w:val="18"/>
                <w:szCs w:val="18"/>
              </w:rPr>
            </w:pPr>
            <w:r>
              <w:rPr>
                <w:rFonts w:ascii="宋体" w:hAnsi="宋体"/>
                <w:b/>
                <w:kern w:val="0"/>
                <w:sz w:val="18"/>
                <w:szCs w:val="18"/>
              </w:rPr>
              <w:t>0.48</w:t>
            </w:r>
          </w:p>
        </w:tc>
        <w:tc>
          <w:tcPr>
            <w:tcW w:w="1396" w:type="dxa"/>
            <w:shd w:val="clear" w:color="auto" w:fill="auto"/>
            <w:vAlign w:val="center"/>
          </w:tcPr>
          <w:p>
            <w:pPr>
              <w:jc w:val="right"/>
              <w:rPr>
                <w:rFonts w:ascii="宋体" w:hAnsi="宋体"/>
                <w:color w:val="000000"/>
                <w:sz w:val="18"/>
                <w:szCs w:val="18"/>
              </w:rPr>
            </w:pPr>
            <w:r>
              <w:rPr>
                <w:rFonts w:ascii="宋体" w:hAnsi="宋体"/>
                <w:b/>
                <w:kern w:val="0"/>
                <w:sz w:val="18"/>
                <w:szCs w:val="18"/>
              </w:rPr>
              <w:t>0.48</w:t>
            </w: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kern w:val="0"/>
                <w:sz w:val="18"/>
                <w:szCs w:val="18"/>
              </w:rPr>
              <w:t>其中：公务用车购置费</w:t>
            </w:r>
          </w:p>
        </w:tc>
        <w:tc>
          <w:tcPr>
            <w:tcW w:w="1396" w:type="dxa"/>
            <w:shd w:val="clear" w:color="auto" w:fill="auto"/>
            <w:vAlign w:val="center"/>
          </w:tcPr>
          <w:p>
            <w:pPr>
              <w:jc w:val="right"/>
              <w:rPr>
                <w:rFonts w:ascii="宋体" w:hAnsi="宋体"/>
                <w:color w:val="000000"/>
                <w:sz w:val="18"/>
                <w:szCs w:val="18"/>
              </w:rPr>
            </w:pPr>
          </w:p>
        </w:tc>
        <w:tc>
          <w:tcPr>
            <w:tcW w:w="1396" w:type="dxa"/>
            <w:shd w:val="clear" w:color="auto" w:fill="auto"/>
            <w:vAlign w:val="center"/>
          </w:tcPr>
          <w:p>
            <w:pPr>
              <w:jc w:val="right"/>
              <w:rPr>
                <w:rFonts w:ascii="宋体" w:hAnsi="宋体"/>
                <w:color w:val="000000"/>
                <w:sz w:val="18"/>
                <w:szCs w:val="18"/>
              </w:rPr>
            </w:pP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kern w:val="0"/>
                <w:sz w:val="18"/>
                <w:szCs w:val="18"/>
              </w:rPr>
              <w:t xml:space="preserve">      公务用车运行费</w:t>
            </w:r>
          </w:p>
        </w:tc>
        <w:tc>
          <w:tcPr>
            <w:tcW w:w="1396" w:type="dxa"/>
            <w:shd w:val="clear" w:color="auto" w:fill="auto"/>
            <w:vAlign w:val="center"/>
          </w:tcPr>
          <w:p>
            <w:pPr>
              <w:jc w:val="right"/>
              <w:rPr>
                <w:rFonts w:ascii="宋体" w:hAnsi="宋体"/>
                <w:color w:val="000000"/>
                <w:sz w:val="18"/>
                <w:szCs w:val="18"/>
              </w:rPr>
            </w:pPr>
            <w:r>
              <w:rPr>
                <w:rFonts w:ascii="宋体" w:hAnsi="宋体"/>
                <w:kern w:val="0"/>
                <w:sz w:val="18"/>
                <w:szCs w:val="18"/>
              </w:rPr>
              <w:t>0.48</w:t>
            </w:r>
          </w:p>
        </w:tc>
        <w:tc>
          <w:tcPr>
            <w:tcW w:w="1396" w:type="dxa"/>
            <w:shd w:val="clear" w:color="auto" w:fill="auto"/>
            <w:vAlign w:val="center"/>
          </w:tcPr>
          <w:p>
            <w:pPr>
              <w:jc w:val="right"/>
              <w:rPr>
                <w:rFonts w:ascii="宋体" w:hAnsi="宋体"/>
                <w:color w:val="000000"/>
                <w:sz w:val="18"/>
                <w:szCs w:val="18"/>
              </w:rPr>
            </w:pPr>
            <w:r>
              <w:rPr>
                <w:rFonts w:ascii="宋体" w:hAnsi="宋体"/>
                <w:kern w:val="0"/>
                <w:sz w:val="18"/>
                <w:szCs w:val="18"/>
              </w:rPr>
              <w:t>0.48</w:t>
            </w: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6"/>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编制部门：额敏县科学技术协会</w:t>
            </w:r>
          </w:p>
        </w:tc>
        <w:tc>
          <w:tcPr>
            <w:tcW w:w="4254" w:type="dxa"/>
            <w:gridSpan w:val="5"/>
            <w:tcBorders>
              <w:top w:val="nil"/>
              <w:left w:val="nil"/>
              <w:right w:val="nil"/>
            </w:tcBorders>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vAlign w:val="center"/>
          </w:tcPr>
          <w:p>
            <w:pPr>
              <w:jc w:val="center"/>
              <w:rPr>
                <w:rFonts w:hint="eastAsia"/>
                <w:sz w:val="18"/>
                <w:szCs w:val="18"/>
              </w:rPr>
            </w:pPr>
            <w:r>
              <w:rPr>
                <w:rFonts w:hint="eastAsia"/>
                <w:sz w:val="18"/>
                <w:szCs w:val="18"/>
              </w:rPr>
              <w:t>财政拨款</w:t>
            </w:r>
          </w:p>
        </w:tc>
        <w:tc>
          <w:tcPr>
            <w:tcW w:w="4988" w:type="dxa"/>
            <w:gridSpan w:val="5"/>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vAlign w:val="center"/>
          </w:tcPr>
          <w:p>
            <w:pPr>
              <w:jc w:val="center"/>
              <w:rPr>
                <w:sz w:val="18"/>
                <w:szCs w:val="18"/>
              </w:rPr>
            </w:pPr>
            <w:r>
              <w:rPr>
                <w:rFonts w:hint="eastAsia"/>
                <w:sz w:val="18"/>
                <w:szCs w:val="18"/>
              </w:rPr>
              <w:t>小计</w:t>
            </w:r>
          </w:p>
        </w:tc>
        <w:tc>
          <w:tcPr>
            <w:tcW w:w="2494" w:type="dxa"/>
            <w:gridSpan w:val="2"/>
            <w:vAlign w:val="center"/>
          </w:tcPr>
          <w:p>
            <w:pPr>
              <w:jc w:val="center"/>
              <w:rPr>
                <w:sz w:val="18"/>
                <w:szCs w:val="18"/>
              </w:rPr>
            </w:pPr>
            <w:r>
              <w:rPr>
                <w:rFonts w:hint="eastAsia"/>
                <w:sz w:val="18"/>
                <w:szCs w:val="18"/>
              </w:rPr>
              <w:t>基本支出</w:t>
            </w:r>
          </w:p>
        </w:tc>
        <w:tc>
          <w:tcPr>
            <w:tcW w:w="1247" w:type="dxa"/>
            <w:vMerge w:val="restart"/>
            <w:vAlign w:val="center"/>
          </w:tcPr>
          <w:p>
            <w:pPr>
              <w:jc w:val="center"/>
              <w:rPr>
                <w:sz w:val="18"/>
                <w:szCs w:val="18"/>
              </w:rPr>
            </w:pPr>
            <w:r>
              <w:rPr>
                <w:rFonts w:hint="eastAsia"/>
                <w:sz w:val="18"/>
                <w:szCs w:val="18"/>
              </w:rPr>
              <w:t>项目支出</w:t>
            </w:r>
          </w:p>
        </w:tc>
        <w:tc>
          <w:tcPr>
            <w:tcW w:w="1247" w:type="dxa"/>
            <w:gridSpan w:val="2"/>
            <w:vMerge w:val="restart"/>
            <w:vAlign w:val="center"/>
          </w:tcPr>
          <w:p>
            <w:pPr>
              <w:jc w:val="center"/>
              <w:rPr>
                <w:sz w:val="18"/>
                <w:szCs w:val="18"/>
              </w:rPr>
            </w:pPr>
            <w:r>
              <w:rPr>
                <w:rFonts w:hint="eastAsia"/>
                <w:sz w:val="18"/>
                <w:szCs w:val="18"/>
              </w:rPr>
              <w:t>小计</w:t>
            </w:r>
          </w:p>
        </w:tc>
        <w:tc>
          <w:tcPr>
            <w:tcW w:w="2494" w:type="dxa"/>
            <w:gridSpan w:val="2"/>
            <w:vAlign w:val="center"/>
          </w:tcPr>
          <w:p>
            <w:pPr>
              <w:jc w:val="center"/>
              <w:rPr>
                <w:sz w:val="18"/>
                <w:szCs w:val="18"/>
              </w:rPr>
            </w:pPr>
            <w:r>
              <w:rPr>
                <w:rFonts w:hint="eastAsia"/>
                <w:sz w:val="18"/>
                <w:szCs w:val="18"/>
              </w:rPr>
              <w:t>基本支出</w:t>
            </w:r>
          </w:p>
        </w:tc>
        <w:tc>
          <w:tcPr>
            <w:tcW w:w="1247" w:type="dxa"/>
            <w:vMerge w:val="restart"/>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vAlign w:val="center"/>
          </w:tcPr>
          <w:p>
            <w:pPr>
              <w:jc w:val="center"/>
              <w:rPr>
                <w:sz w:val="18"/>
                <w:szCs w:val="18"/>
              </w:rPr>
            </w:pPr>
          </w:p>
        </w:tc>
        <w:tc>
          <w:tcPr>
            <w:tcW w:w="1247" w:type="dxa"/>
            <w:vAlign w:val="center"/>
          </w:tcPr>
          <w:p>
            <w:pPr>
              <w:jc w:val="center"/>
              <w:rPr>
                <w:sz w:val="18"/>
                <w:szCs w:val="18"/>
              </w:rPr>
            </w:pPr>
            <w:r>
              <w:rPr>
                <w:rFonts w:hint="eastAsia"/>
                <w:sz w:val="18"/>
                <w:szCs w:val="18"/>
              </w:rPr>
              <w:t>人员经费</w:t>
            </w:r>
          </w:p>
        </w:tc>
        <w:tc>
          <w:tcPr>
            <w:tcW w:w="1247" w:type="dxa"/>
            <w:vAlign w:val="center"/>
          </w:tcPr>
          <w:p>
            <w:pPr>
              <w:jc w:val="center"/>
              <w:rPr>
                <w:sz w:val="18"/>
                <w:szCs w:val="18"/>
              </w:rPr>
            </w:pPr>
            <w:r>
              <w:rPr>
                <w:rFonts w:hint="eastAsia"/>
                <w:sz w:val="18"/>
                <w:szCs w:val="18"/>
              </w:rPr>
              <w:t>公用经费</w:t>
            </w:r>
          </w:p>
        </w:tc>
        <w:tc>
          <w:tcPr>
            <w:tcW w:w="1247" w:type="dxa"/>
            <w:vMerge w:val="continue"/>
            <w:vAlign w:val="center"/>
          </w:tcPr>
          <w:p>
            <w:pPr>
              <w:jc w:val="center"/>
              <w:rPr>
                <w:sz w:val="18"/>
                <w:szCs w:val="18"/>
              </w:rPr>
            </w:pPr>
          </w:p>
        </w:tc>
        <w:tc>
          <w:tcPr>
            <w:tcW w:w="1247" w:type="dxa"/>
            <w:gridSpan w:val="2"/>
            <w:vMerge w:val="continue"/>
            <w:vAlign w:val="center"/>
          </w:tcPr>
          <w:p>
            <w:pPr>
              <w:jc w:val="center"/>
              <w:rPr>
                <w:sz w:val="18"/>
                <w:szCs w:val="18"/>
              </w:rPr>
            </w:pPr>
          </w:p>
        </w:tc>
        <w:tc>
          <w:tcPr>
            <w:tcW w:w="1247" w:type="dxa"/>
            <w:vAlign w:val="center"/>
          </w:tcPr>
          <w:p>
            <w:pPr>
              <w:jc w:val="center"/>
              <w:rPr>
                <w:sz w:val="18"/>
                <w:szCs w:val="18"/>
              </w:rPr>
            </w:pPr>
            <w:r>
              <w:rPr>
                <w:rFonts w:hint="eastAsia"/>
                <w:sz w:val="18"/>
                <w:szCs w:val="18"/>
              </w:rPr>
              <w:t>人员经费</w:t>
            </w:r>
          </w:p>
        </w:tc>
        <w:tc>
          <w:tcPr>
            <w:tcW w:w="1247" w:type="dxa"/>
            <w:vAlign w:val="center"/>
          </w:tcPr>
          <w:p>
            <w:pPr>
              <w:jc w:val="center"/>
              <w:rPr>
                <w:sz w:val="18"/>
                <w:szCs w:val="18"/>
              </w:rPr>
            </w:pPr>
            <w:r>
              <w:rPr>
                <w:rFonts w:hint="eastAsia"/>
                <w:sz w:val="18"/>
                <w:szCs w:val="18"/>
              </w:rPr>
              <w:t>公用经费</w:t>
            </w:r>
          </w:p>
        </w:tc>
        <w:tc>
          <w:tcPr>
            <w:tcW w:w="1247" w:type="dxa"/>
            <w:vMerge w:val="continue"/>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pPr>
              <w:jc w:val="center"/>
              <w:rPr>
                <w:sz w:val="18"/>
                <w:szCs w:val="18"/>
              </w:rPr>
            </w:pPr>
            <w:r>
              <w:rPr>
                <w:rFonts w:hint="eastAsia"/>
                <w:color w:val="000000"/>
                <w:sz w:val="18"/>
                <w:szCs w:val="18"/>
              </w:rPr>
              <w:t>※</w:t>
            </w:r>
          </w:p>
        </w:tc>
        <w:tc>
          <w:tcPr>
            <w:tcW w:w="1247" w:type="dxa"/>
            <w:shd w:val="clear" w:color="auto" w:fill="auto"/>
            <w:vAlign w:val="center"/>
          </w:tcPr>
          <w:p>
            <w:pPr>
              <w:jc w:val="center"/>
              <w:rPr>
                <w:sz w:val="18"/>
                <w:szCs w:val="18"/>
              </w:rPr>
            </w:pPr>
            <w:r>
              <w:rPr>
                <w:rFonts w:hint="eastAsia"/>
                <w:sz w:val="18"/>
                <w:szCs w:val="18"/>
              </w:rPr>
              <w:t>1</w:t>
            </w:r>
          </w:p>
        </w:tc>
        <w:tc>
          <w:tcPr>
            <w:tcW w:w="1247" w:type="dxa"/>
            <w:vAlign w:val="center"/>
          </w:tcPr>
          <w:p>
            <w:pPr>
              <w:jc w:val="center"/>
              <w:rPr>
                <w:rFonts w:hint="eastAsia"/>
                <w:sz w:val="18"/>
                <w:szCs w:val="18"/>
              </w:rPr>
            </w:pPr>
            <w:r>
              <w:rPr>
                <w:rFonts w:hint="eastAsia"/>
                <w:sz w:val="18"/>
                <w:szCs w:val="18"/>
              </w:rPr>
              <w:t>2</w:t>
            </w:r>
          </w:p>
        </w:tc>
        <w:tc>
          <w:tcPr>
            <w:tcW w:w="1247" w:type="dxa"/>
            <w:vAlign w:val="center"/>
          </w:tcPr>
          <w:p>
            <w:pPr>
              <w:jc w:val="center"/>
              <w:rPr>
                <w:rFonts w:hint="eastAsia"/>
                <w:sz w:val="18"/>
                <w:szCs w:val="18"/>
              </w:rPr>
            </w:pPr>
            <w:r>
              <w:rPr>
                <w:rFonts w:hint="eastAsia"/>
                <w:sz w:val="18"/>
                <w:szCs w:val="18"/>
              </w:rPr>
              <w:t>3</w:t>
            </w:r>
          </w:p>
        </w:tc>
        <w:tc>
          <w:tcPr>
            <w:tcW w:w="1247" w:type="dxa"/>
            <w:vAlign w:val="center"/>
          </w:tcPr>
          <w:p>
            <w:pPr>
              <w:jc w:val="center"/>
              <w:rPr>
                <w:rFonts w:hint="eastAsia"/>
                <w:sz w:val="18"/>
                <w:szCs w:val="18"/>
              </w:rPr>
            </w:pPr>
            <w:r>
              <w:rPr>
                <w:rFonts w:hint="eastAsia"/>
                <w:sz w:val="18"/>
                <w:szCs w:val="18"/>
              </w:rPr>
              <w:t>4</w:t>
            </w:r>
          </w:p>
        </w:tc>
        <w:tc>
          <w:tcPr>
            <w:tcW w:w="1247" w:type="dxa"/>
            <w:vAlign w:val="center"/>
          </w:tcPr>
          <w:p>
            <w:pPr>
              <w:jc w:val="center"/>
              <w:rPr>
                <w:rFonts w:hint="eastAsia"/>
                <w:sz w:val="18"/>
                <w:szCs w:val="18"/>
              </w:rPr>
            </w:pPr>
            <w:r>
              <w:rPr>
                <w:rFonts w:hint="eastAsia"/>
                <w:sz w:val="18"/>
                <w:szCs w:val="18"/>
              </w:rPr>
              <w:t>5</w:t>
            </w:r>
          </w:p>
        </w:tc>
        <w:tc>
          <w:tcPr>
            <w:tcW w:w="1247" w:type="dxa"/>
            <w:gridSpan w:val="2"/>
            <w:vAlign w:val="center"/>
          </w:tcPr>
          <w:p>
            <w:pPr>
              <w:jc w:val="center"/>
              <w:rPr>
                <w:rFonts w:hint="eastAsia"/>
                <w:sz w:val="18"/>
                <w:szCs w:val="18"/>
              </w:rPr>
            </w:pPr>
            <w:r>
              <w:rPr>
                <w:rFonts w:hint="eastAsia"/>
                <w:sz w:val="18"/>
                <w:szCs w:val="18"/>
              </w:rPr>
              <w:t>6</w:t>
            </w:r>
          </w:p>
        </w:tc>
        <w:tc>
          <w:tcPr>
            <w:tcW w:w="1247" w:type="dxa"/>
            <w:vAlign w:val="center"/>
          </w:tcPr>
          <w:p>
            <w:pPr>
              <w:jc w:val="center"/>
              <w:rPr>
                <w:rFonts w:hint="eastAsia"/>
                <w:sz w:val="18"/>
                <w:szCs w:val="18"/>
              </w:rPr>
            </w:pPr>
            <w:r>
              <w:rPr>
                <w:rFonts w:hint="eastAsia"/>
                <w:sz w:val="18"/>
                <w:szCs w:val="18"/>
              </w:rPr>
              <w:t>7</w:t>
            </w:r>
          </w:p>
        </w:tc>
        <w:tc>
          <w:tcPr>
            <w:tcW w:w="1247" w:type="dxa"/>
            <w:vAlign w:val="center"/>
          </w:tcPr>
          <w:p>
            <w:pPr>
              <w:jc w:val="center"/>
              <w:rPr>
                <w:rFonts w:hint="eastAsia"/>
                <w:sz w:val="18"/>
                <w:szCs w:val="18"/>
              </w:rPr>
            </w:pPr>
            <w:r>
              <w:rPr>
                <w:rFonts w:hint="eastAsia"/>
                <w:sz w:val="18"/>
                <w:szCs w:val="18"/>
              </w:rPr>
              <w:t>8</w:t>
            </w:r>
          </w:p>
        </w:tc>
        <w:tc>
          <w:tcPr>
            <w:tcW w:w="1247" w:type="dxa"/>
            <w:vAlign w:val="center"/>
          </w:tcPr>
          <w:p>
            <w:pPr>
              <w:jc w:val="center"/>
              <w:rPr>
                <w:rFonts w:hint="eastAsia"/>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rPr>
        <w:t>额敏县科学技术协会</w:t>
      </w:r>
      <w:r>
        <w:rPr>
          <w:rFonts w:hint="eastAsia" w:ascii="仿宋" w:eastAsia="仿宋"/>
          <w:b/>
          <w:color w:val="000000"/>
          <w:szCs w:val="21"/>
          <w:lang w:eastAsia="zh-CN"/>
        </w:rPr>
        <w:t>2026</w:t>
      </w:r>
      <w:r>
        <w:rPr>
          <w:rFonts w:hint="eastAsia" w:ascii="仿宋" w:eastAsia="仿宋"/>
          <w:b/>
          <w:color w:val="000000"/>
          <w:szCs w:val="21"/>
        </w:rPr>
        <w:t>年没有上年结转结余预算安排的支出，上年结转结余情况明细表为空表。</w:t>
      </w:r>
    </w:p>
    <w:p>
      <w:pPr>
        <w:pStyle w:val="2"/>
        <w:spacing w:before="156" w:beforeLines="50" w:after="156" w:afterLines="50" w:line="240" w:lineRule="atLeast"/>
        <w:jc w:val="center"/>
        <w:rPr>
          <w:rFonts w:ascii="黑体" w:eastAsia="黑体"/>
          <w:sz w:val="30"/>
          <w:szCs w:val="30"/>
        </w:rPr>
      </w:pPr>
      <w:r>
        <w:rPr>
          <w:rFonts w:hint="eastAsia" w:ascii="黑体" w:eastAsia="黑体"/>
          <w:sz w:val="30"/>
          <w:szCs w:val="30"/>
        </w:rPr>
        <w:t xml:space="preserve">第三部分 </w:t>
      </w:r>
      <w:r>
        <w:rPr>
          <w:rFonts w:hint="eastAsia" w:ascii="黑体" w:eastAsia="黑体"/>
          <w:sz w:val="30"/>
          <w:szCs w:val="30"/>
          <w:lang w:eastAsia="zh-CN"/>
        </w:rPr>
        <w:t>2026</w:t>
      </w:r>
      <w:r>
        <w:rPr>
          <w:rFonts w:hint="eastAsia" w:ascii="黑体" w:eastAsia="黑体"/>
          <w:sz w:val="30"/>
          <w:szCs w:val="30"/>
        </w:rPr>
        <w:t>年部门预算情况说明</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关于额敏县科学技术协会</w:t>
      </w:r>
      <w:r>
        <w:rPr>
          <w:rFonts w:hint="eastAsia" w:ascii="仿宋" w:hAnsi="华文楷体" w:eastAsia="仿宋"/>
          <w:sz w:val="28"/>
          <w:szCs w:val="28"/>
          <w:lang w:eastAsia="zh-CN"/>
        </w:rPr>
        <w:t>2026</w:t>
      </w:r>
      <w:r>
        <w:rPr>
          <w:rFonts w:hint="eastAsia" w:ascii="仿宋" w:hAnsi="华文楷体" w:eastAsia="仿宋"/>
          <w:sz w:val="28"/>
          <w:szCs w:val="28"/>
        </w:rPr>
        <w:t>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按照全口径预算的原则，额敏县科学技术协会</w:t>
      </w:r>
      <w:r>
        <w:rPr>
          <w:rFonts w:hint="eastAsia" w:ascii="仿宋" w:hAnsi="微软雅黑" w:eastAsia="仿宋"/>
          <w:sz w:val="28"/>
          <w:szCs w:val="28"/>
          <w:lang w:eastAsia="zh-CN"/>
        </w:rPr>
        <w:t>2026</w:t>
      </w:r>
      <w:r>
        <w:rPr>
          <w:rFonts w:hint="eastAsia" w:ascii="仿宋" w:hAnsi="微软雅黑" w:eastAsia="仿宋"/>
          <w:sz w:val="28"/>
          <w:szCs w:val="28"/>
        </w:rPr>
        <w:t>年所有收入和支出均纳入部门预算管理。收支总预算80.19万元。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收入预算包括：一般公共预算。</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支出预算包括：科学技术支出、社会保障和就业支出、卫生健康支出、住房保障支出。</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关于额敏县科学技术协会</w:t>
      </w:r>
      <w:r>
        <w:rPr>
          <w:rFonts w:hint="eastAsia" w:ascii="仿宋" w:hAnsi="华文楷体" w:eastAsia="仿宋"/>
          <w:sz w:val="28"/>
          <w:szCs w:val="28"/>
          <w:lang w:eastAsia="zh-CN"/>
        </w:rPr>
        <w:t>2026</w:t>
      </w:r>
      <w:r>
        <w:rPr>
          <w:rFonts w:hint="eastAsia" w:ascii="仿宋" w:hAnsi="华文楷体" w:eastAsia="仿宋"/>
          <w:sz w:val="28"/>
          <w:szCs w:val="28"/>
        </w:rPr>
        <w:t>年收入预算情况说明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额敏县科学技术协会部门收入预算80.19万元，其中：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一般公共预算80.19万元，占100.00%，比上年预算减少14.98万元，下降15.74%，主要原因是</w:t>
      </w:r>
      <w:r>
        <w:rPr>
          <w:rFonts w:hint="eastAsia" w:ascii="仿宋" w:hAnsi="微软雅黑" w:eastAsia="仿宋"/>
          <w:sz w:val="28"/>
          <w:szCs w:val="28"/>
          <w:lang w:eastAsia="zh-CN"/>
        </w:rPr>
        <w:t>2026</w:t>
      </w:r>
      <w:r>
        <w:rPr>
          <w:rFonts w:hint="eastAsia" w:ascii="仿宋" w:hAnsi="微软雅黑" w:eastAsia="仿宋"/>
          <w:sz w:val="28"/>
          <w:szCs w:val="28"/>
        </w:rPr>
        <w:t>年职业年金由财政统一代编，退休人员医保缴费年限已满不再缴纳医疗保险，</w:t>
      </w:r>
      <w:r>
        <w:rPr>
          <w:rFonts w:hint="eastAsia" w:ascii="仿宋" w:hAnsi="微软雅黑" w:eastAsia="仿宋"/>
          <w:sz w:val="28"/>
          <w:szCs w:val="28"/>
          <w:lang w:eastAsia="zh-CN"/>
        </w:rPr>
        <w:t>因此</w:t>
      </w:r>
      <w:r>
        <w:rPr>
          <w:rFonts w:hint="eastAsia" w:ascii="仿宋" w:hAnsi="微软雅黑" w:eastAsia="仿宋"/>
          <w:sz w:val="28"/>
          <w:szCs w:val="28"/>
        </w:rPr>
        <w:t>预算较上年减少。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上级一般公共预算安排的转移支付资金未安排。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上级国有资本经营预算安排的转移支付资金未安排。</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关于额敏县科学技术协会</w:t>
      </w:r>
      <w:r>
        <w:rPr>
          <w:rFonts w:hint="eastAsia" w:ascii="仿宋" w:hAnsi="华文楷体" w:eastAsia="仿宋"/>
          <w:sz w:val="28"/>
          <w:szCs w:val="28"/>
          <w:lang w:eastAsia="zh-CN"/>
        </w:rPr>
        <w:t>2026</w:t>
      </w:r>
      <w:r>
        <w:rPr>
          <w:rFonts w:hint="eastAsia" w:ascii="仿宋" w:hAnsi="华文楷体" w:eastAsia="仿宋"/>
          <w:sz w:val="28"/>
          <w:szCs w:val="28"/>
        </w:rPr>
        <w:t>年支出预算情况说明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额敏县科学技术协会</w:t>
      </w:r>
      <w:r>
        <w:rPr>
          <w:rFonts w:hint="eastAsia" w:ascii="仿宋" w:hAnsi="微软雅黑" w:eastAsia="仿宋"/>
          <w:sz w:val="28"/>
          <w:szCs w:val="28"/>
          <w:lang w:eastAsia="zh-CN"/>
        </w:rPr>
        <w:t>2026</w:t>
      </w:r>
      <w:r>
        <w:rPr>
          <w:rFonts w:hint="eastAsia" w:ascii="仿宋" w:hAnsi="微软雅黑" w:eastAsia="仿宋"/>
          <w:sz w:val="28"/>
          <w:szCs w:val="28"/>
        </w:rPr>
        <w:t>年支出预算80.19万元，其中：</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基本支出80.19万元，占100.00%，比上年预算减少14.98万元，下降15.74%，主要原因是</w:t>
      </w:r>
      <w:r>
        <w:rPr>
          <w:rFonts w:hint="eastAsia" w:ascii="仿宋" w:hAnsi="微软雅黑" w:eastAsia="仿宋"/>
          <w:sz w:val="28"/>
          <w:szCs w:val="28"/>
          <w:lang w:val="en-US" w:eastAsia="zh-CN"/>
        </w:rPr>
        <w:t>在职人员减少一人，</w:t>
      </w:r>
      <w:r>
        <w:rPr>
          <w:rFonts w:hint="eastAsia" w:ascii="仿宋" w:hAnsi="微软雅黑" w:eastAsia="仿宋"/>
          <w:sz w:val="28"/>
          <w:szCs w:val="28"/>
          <w:lang w:eastAsia="zh-CN"/>
        </w:rPr>
        <w:t>2026</w:t>
      </w:r>
      <w:r>
        <w:rPr>
          <w:rFonts w:hint="eastAsia" w:ascii="仿宋" w:hAnsi="微软雅黑" w:eastAsia="仿宋"/>
          <w:sz w:val="28"/>
          <w:szCs w:val="28"/>
        </w:rPr>
        <w:t>年职业年金由财政统一代编，退休人员医保缴费年限已满不再缴纳医疗保险，</w:t>
      </w:r>
      <w:r>
        <w:rPr>
          <w:rFonts w:hint="eastAsia" w:ascii="仿宋" w:hAnsi="微软雅黑" w:eastAsia="仿宋"/>
          <w:sz w:val="28"/>
          <w:szCs w:val="28"/>
          <w:lang w:eastAsia="zh-CN"/>
        </w:rPr>
        <w:t>因此</w:t>
      </w:r>
      <w:r>
        <w:rPr>
          <w:rFonts w:hint="eastAsia" w:ascii="仿宋" w:hAnsi="微软雅黑" w:eastAsia="仿宋"/>
          <w:sz w:val="28"/>
          <w:szCs w:val="28"/>
        </w:rPr>
        <w:t>预算较上年减少。</w:t>
      </w:r>
      <w:r>
        <w:rPr>
          <w:rFonts w:hint="eastAsia" w:ascii="仿宋" w:hAnsi="微软雅黑" w:eastAsia="仿宋"/>
          <w:sz w:val="28"/>
          <w:szCs w:val="28"/>
          <w:lang w:val="en-US" w:eastAsia="zh-CN"/>
        </w:rPr>
        <w:t xml:space="preserve"> </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项目支出0.00万元，占0.00%，比上年预算增加0.00万元，增长0.00%，主要原因是</w:t>
      </w:r>
      <w:r>
        <w:rPr>
          <w:rFonts w:hint="eastAsia" w:ascii="仿宋" w:hAnsi="微软雅黑" w:eastAsia="仿宋"/>
          <w:sz w:val="28"/>
          <w:szCs w:val="28"/>
          <w:lang w:eastAsia="zh-CN"/>
        </w:rPr>
        <w:t>2025及2026</w:t>
      </w:r>
      <w:r>
        <w:rPr>
          <w:rFonts w:hint="eastAsia" w:ascii="仿宋" w:hAnsi="微软雅黑" w:eastAsia="仿宋"/>
          <w:sz w:val="28"/>
          <w:szCs w:val="28"/>
        </w:rPr>
        <w:t>年度</w:t>
      </w:r>
      <w:r>
        <w:rPr>
          <w:rFonts w:hint="eastAsia" w:ascii="仿宋" w:hAnsi="微软雅黑" w:eastAsia="仿宋"/>
          <w:sz w:val="28"/>
          <w:szCs w:val="28"/>
          <w:lang w:eastAsia="zh-CN"/>
        </w:rPr>
        <w:t>均未安排</w:t>
      </w:r>
      <w:r>
        <w:rPr>
          <w:rFonts w:hint="eastAsia" w:ascii="仿宋" w:hAnsi="微软雅黑" w:eastAsia="仿宋"/>
          <w:sz w:val="28"/>
          <w:szCs w:val="28"/>
        </w:rPr>
        <w:t>项目</w:t>
      </w:r>
      <w:r>
        <w:rPr>
          <w:rFonts w:hint="eastAsia" w:ascii="仿宋" w:hAnsi="微软雅黑" w:eastAsia="仿宋"/>
          <w:sz w:val="28"/>
          <w:szCs w:val="28"/>
          <w:lang w:eastAsia="zh-CN"/>
        </w:rPr>
        <w:t>，</w:t>
      </w:r>
      <w:r>
        <w:rPr>
          <w:rFonts w:hint="eastAsia" w:ascii="仿宋" w:hAnsi="微软雅黑" w:eastAsia="仿宋"/>
          <w:sz w:val="28"/>
          <w:szCs w:val="28"/>
          <w:lang w:val="en-US" w:eastAsia="zh-CN"/>
        </w:rPr>
        <w:t>与上年无变化。</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关于额敏县科学技术协会</w:t>
      </w:r>
      <w:r>
        <w:rPr>
          <w:rFonts w:hint="eastAsia" w:ascii="仿宋" w:hAnsi="华文楷体" w:eastAsia="仿宋"/>
          <w:sz w:val="28"/>
          <w:szCs w:val="28"/>
          <w:lang w:eastAsia="zh-CN"/>
        </w:rPr>
        <w:t>2026</w:t>
      </w:r>
      <w:r>
        <w:rPr>
          <w:rFonts w:hint="eastAsia" w:ascii="仿宋" w:hAnsi="华文楷体" w:eastAsia="仿宋"/>
          <w:sz w:val="28"/>
          <w:szCs w:val="28"/>
        </w:rPr>
        <w:t>年财政拨款收支预算情况的总体说明</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年财政拨款收支总预算80.19万元。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sz w:val="28"/>
          <w:szCs w:val="28"/>
        </w:rPr>
      </w:pPr>
      <w:r>
        <w:rPr>
          <w:rFonts w:hint="eastAsia" w:ascii="仿宋" w:hAnsi="微软雅黑" w:eastAsia="仿宋"/>
          <w:sz w:val="28"/>
          <w:szCs w:val="28"/>
        </w:rPr>
        <w:t>收入预算包括：一般公共预算拨款80.19万元。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sz w:val="28"/>
          <w:szCs w:val="28"/>
        </w:rPr>
      </w:pPr>
      <w:r>
        <w:rPr>
          <w:rFonts w:hint="eastAsia" w:ascii="仿宋" w:hAnsi="微软雅黑" w:eastAsia="仿宋"/>
          <w:sz w:val="28"/>
          <w:szCs w:val="28"/>
        </w:rPr>
        <w:t>一般公共预算支出包括：科学技术支出57.20万元，主要用于保障正常运行的人员经费、公用经费支出；社会保障和就业支出11.96万元，主要用于保障正常运行的人员经费、公用经费支出；卫生健康支出4.90万元，主要用于人员医疗保险缴费支出；住房保障支出6.13万元，主要用于人员住房公积金缴费支出。</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关于额敏县科学技术协会</w:t>
      </w:r>
      <w:r>
        <w:rPr>
          <w:rFonts w:hint="eastAsia" w:ascii="仿宋" w:hAnsi="华文楷体" w:eastAsia="仿宋"/>
          <w:sz w:val="28"/>
          <w:szCs w:val="28"/>
          <w:lang w:eastAsia="zh-CN"/>
        </w:rPr>
        <w:t>2026</w:t>
      </w:r>
      <w:r>
        <w:rPr>
          <w:rFonts w:hint="eastAsia" w:ascii="仿宋" w:hAnsi="华文楷体" w:eastAsia="仿宋"/>
          <w:sz w:val="28"/>
          <w:szCs w:val="28"/>
        </w:rPr>
        <w:t>年一般公共预算当年拨款情况说明</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额敏县科学技术协会</w:t>
      </w:r>
      <w:r>
        <w:rPr>
          <w:rFonts w:hint="eastAsia" w:ascii="仿宋" w:hAnsi="微软雅黑" w:eastAsia="仿宋"/>
          <w:sz w:val="28"/>
          <w:szCs w:val="28"/>
          <w:lang w:eastAsia="zh-CN"/>
        </w:rPr>
        <w:t>2026</w:t>
      </w:r>
      <w:r>
        <w:rPr>
          <w:rFonts w:hint="eastAsia" w:ascii="仿宋" w:hAnsi="微软雅黑" w:eastAsia="仿宋"/>
          <w:sz w:val="28"/>
          <w:szCs w:val="28"/>
        </w:rPr>
        <w:t>年一般公共预算拨款合计80.19万元，其中：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基本支出80.19万元，比上年预算减少14.98万元，下降15.74%，主要原因是</w:t>
      </w:r>
      <w:r>
        <w:rPr>
          <w:rFonts w:hint="eastAsia" w:ascii="仿宋" w:hAnsi="微软雅黑" w:eastAsia="仿宋"/>
          <w:sz w:val="28"/>
          <w:szCs w:val="28"/>
          <w:lang w:val="en-US" w:eastAsia="zh-CN"/>
        </w:rPr>
        <w:t>在职人员减少一人，</w:t>
      </w:r>
      <w:r>
        <w:rPr>
          <w:rFonts w:hint="eastAsia" w:ascii="仿宋" w:hAnsi="微软雅黑" w:eastAsia="仿宋"/>
          <w:sz w:val="28"/>
          <w:szCs w:val="28"/>
          <w:lang w:eastAsia="zh-CN"/>
        </w:rPr>
        <w:t>2026</w:t>
      </w:r>
      <w:r>
        <w:rPr>
          <w:rFonts w:hint="eastAsia" w:ascii="仿宋" w:hAnsi="微软雅黑" w:eastAsia="仿宋"/>
          <w:sz w:val="28"/>
          <w:szCs w:val="28"/>
        </w:rPr>
        <w:t>年职业年金由财政统一代编，退休人员医保缴费年限已满不再缴纳医疗保险，</w:t>
      </w:r>
      <w:r>
        <w:rPr>
          <w:rFonts w:hint="eastAsia" w:ascii="仿宋" w:hAnsi="微软雅黑" w:eastAsia="仿宋"/>
          <w:sz w:val="28"/>
          <w:szCs w:val="28"/>
          <w:lang w:eastAsia="zh-CN"/>
        </w:rPr>
        <w:t>因此</w:t>
      </w:r>
      <w:r>
        <w:rPr>
          <w:rFonts w:hint="eastAsia" w:ascii="仿宋" w:hAnsi="微软雅黑" w:eastAsia="仿宋"/>
          <w:sz w:val="28"/>
          <w:szCs w:val="28"/>
        </w:rPr>
        <w:t xml:space="preserve">预算较上年减少。 </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项目支出0.00万元，比上年预算增加0.00万元，增长0.00%，主要原因是</w:t>
      </w:r>
      <w:r>
        <w:rPr>
          <w:rFonts w:hint="eastAsia" w:ascii="仿宋" w:hAnsi="微软雅黑" w:eastAsia="仿宋"/>
          <w:sz w:val="28"/>
          <w:szCs w:val="28"/>
          <w:lang w:eastAsia="zh-CN"/>
        </w:rPr>
        <w:t>2025及2026</w:t>
      </w:r>
      <w:r>
        <w:rPr>
          <w:rFonts w:hint="eastAsia" w:ascii="仿宋" w:hAnsi="微软雅黑" w:eastAsia="仿宋"/>
          <w:sz w:val="28"/>
          <w:szCs w:val="28"/>
        </w:rPr>
        <w:t>年度</w:t>
      </w:r>
      <w:r>
        <w:rPr>
          <w:rFonts w:hint="eastAsia" w:ascii="仿宋" w:hAnsi="微软雅黑" w:eastAsia="仿宋"/>
          <w:sz w:val="28"/>
          <w:szCs w:val="28"/>
          <w:lang w:eastAsia="zh-CN"/>
        </w:rPr>
        <w:t>均未安排</w:t>
      </w:r>
      <w:r>
        <w:rPr>
          <w:rFonts w:hint="eastAsia" w:ascii="仿宋" w:hAnsi="微软雅黑" w:eastAsia="仿宋"/>
          <w:sz w:val="28"/>
          <w:szCs w:val="28"/>
        </w:rPr>
        <w:t>项目</w:t>
      </w:r>
      <w:r>
        <w:rPr>
          <w:rFonts w:hint="eastAsia" w:ascii="仿宋" w:hAnsi="微软雅黑" w:eastAsia="仿宋"/>
          <w:sz w:val="28"/>
          <w:szCs w:val="28"/>
          <w:lang w:eastAsia="zh-CN"/>
        </w:rPr>
        <w:t>，</w:t>
      </w:r>
      <w:r>
        <w:rPr>
          <w:rFonts w:hint="eastAsia" w:ascii="仿宋" w:hAnsi="微软雅黑" w:eastAsia="仿宋"/>
          <w:sz w:val="28"/>
          <w:szCs w:val="28"/>
          <w:lang w:val="en-US" w:eastAsia="zh-CN"/>
        </w:rPr>
        <w:t>与上年无变化</w:t>
      </w:r>
      <w:r>
        <w:rPr>
          <w:rFonts w:hint="eastAsia" w:ascii="仿宋" w:hAnsi="微软雅黑" w:eastAsia="仿宋"/>
          <w:sz w:val="28"/>
          <w:szCs w:val="28"/>
        </w:rPr>
        <w:t>。</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（二）一般公共预算当年拨款结构情况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1、科学技术支出（类）57.20万元，占71.33%。</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2、社会保障和就业支出（类）11.96万元，占14.91%。</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3、卫生健康支出（类）4.90万元，占6.11%。</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4、住房保障支出（类）6.13万元，占7.64%。</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1、科学技术支出（类）科学技术管理事务（款）行政运行（项）：</w:t>
      </w:r>
      <w:r>
        <w:rPr>
          <w:rFonts w:hint="eastAsia" w:ascii="仿宋" w:hAnsi="微软雅黑" w:eastAsia="仿宋"/>
          <w:sz w:val="28"/>
          <w:szCs w:val="28"/>
          <w:lang w:eastAsia="zh-CN"/>
        </w:rPr>
        <w:t>2026</w:t>
      </w:r>
      <w:r>
        <w:rPr>
          <w:rFonts w:hint="eastAsia" w:ascii="仿宋" w:hAnsi="微软雅黑" w:eastAsia="仿宋"/>
          <w:sz w:val="28"/>
          <w:szCs w:val="28"/>
        </w:rPr>
        <w:t>年预算数为57.20万元，比上年预算减少5.52万元，下降8.80%，主要原因是调离1人，</w:t>
      </w:r>
      <w:r>
        <w:rPr>
          <w:rFonts w:hint="eastAsia" w:ascii="仿宋" w:hAnsi="微软雅黑" w:eastAsia="仿宋"/>
          <w:sz w:val="28"/>
          <w:szCs w:val="28"/>
          <w:lang w:val="en-US" w:eastAsia="zh-CN"/>
        </w:rPr>
        <w:t>因此</w:t>
      </w:r>
      <w:r>
        <w:rPr>
          <w:rFonts w:hint="eastAsia" w:ascii="仿宋" w:hAnsi="微软雅黑" w:eastAsia="仿宋"/>
          <w:sz w:val="28"/>
          <w:szCs w:val="28"/>
        </w:rPr>
        <w:t>预算数较上年减少。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2、社会保障和就业支出（类）行政事业单位养老支出（款）行政单位离退休（项）：</w:t>
      </w:r>
      <w:r>
        <w:rPr>
          <w:rFonts w:hint="eastAsia" w:ascii="仿宋" w:hAnsi="微软雅黑" w:eastAsia="仿宋"/>
          <w:sz w:val="28"/>
          <w:szCs w:val="28"/>
          <w:lang w:eastAsia="zh-CN"/>
        </w:rPr>
        <w:t>2026</w:t>
      </w:r>
      <w:r>
        <w:rPr>
          <w:rFonts w:hint="eastAsia" w:ascii="仿宋" w:hAnsi="微软雅黑" w:eastAsia="仿宋"/>
          <w:sz w:val="28"/>
          <w:szCs w:val="28"/>
        </w:rPr>
        <w:t>年预算数为4.65万元，比上年预算减少2.73万元，下降36.99%，主要原因是根据新医保发〔2023〕58号相关规定，</w:t>
      </w:r>
      <w:r>
        <w:rPr>
          <w:rFonts w:hint="eastAsia" w:ascii="仿宋" w:hAnsi="微软雅黑" w:eastAsia="仿宋"/>
          <w:sz w:val="28"/>
          <w:szCs w:val="28"/>
          <w:lang w:val="en-US" w:eastAsia="zh-CN"/>
        </w:rPr>
        <w:t>部门</w:t>
      </w:r>
      <w:r>
        <w:rPr>
          <w:rFonts w:hint="eastAsia" w:ascii="仿宋" w:hAnsi="微软雅黑" w:eastAsia="仿宋"/>
          <w:sz w:val="28"/>
          <w:szCs w:val="28"/>
        </w:rPr>
        <w:t>退休人员医保缴费年限已满，不再缴纳医疗保险，因此</w:t>
      </w:r>
      <w:r>
        <w:rPr>
          <w:rFonts w:hint="eastAsia" w:ascii="仿宋" w:hAnsi="微软雅黑" w:eastAsia="仿宋"/>
          <w:sz w:val="28"/>
          <w:szCs w:val="28"/>
          <w:lang w:val="en-US" w:eastAsia="zh-CN"/>
        </w:rPr>
        <w:t>预算数较</w:t>
      </w:r>
      <w:r>
        <w:rPr>
          <w:rFonts w:hint="eastAsia" w:ascii="仿宋" w:hAnsi="微软雅黑" w:eastAsia="仿宋"/>
          <w:sz w:val="28"/>
          <w:szCs w:val="28"/>
        </w:rPr>
        <w:t>上年</w:t>
      </w:r>
      <w:r>
        <w:rPr>
          <w:rFonts w:hint="eastAsia" w:ascii="仿宋" w:hAnsi="微软雅黑" w:eastAsia="仿宋"/>
          <w:sz w:val="28"/>
          <w:szCs w:val="28"/>
          <w:lang w:val="en-US" w:eastAsia="zh-CN"/>
        </w:rPr>
        <w:t>减少</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年预算数为7.31万元，比上年预算减少0.97万元，下降11.71%，主要原因是调离1人，因此预算数较上年减少。</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val="en-US" w:eastAsia="zh-CN"/>
        </w:rPr>
      </w:pPr>
      <w:r>
        <w:rPr>
          <w:rFonts w:hint="eastAsia" w:ascii="仿宋" w:hAnsi="微软雅黑" w:eastAsia="仿宋"/>
          <w:sz w:val="28"/>
          <w:szCs w:val="28"/>
        </w:rPr>
        <w:t>4、社会保障和就业支出（类）行政事业单位养老支出（款）机关事业单位职业年金缴费支出（项）：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年预算数为0.00万元，比上年预算减少4.14万元，下降100.00%，主要原因是</w:t>
      </w:r>
      <w:r>
        <w:rPr>
          <w:rFonts w:hint="eastAsia" w:ascii="仿宋" w:hAnsi="微软雅黑" w:eastAsia="仿宋"/>
          <w:sz w:val="28"/>
          <w:szCs w:val="28"/>
          <w:lang w:eastAsia="zh-CN"/>
        </w:rPr>
        <w:t>2026</w:t>
      </w:r>
      <w:r>
        <w:rPr>
          <w:rFonts w:hint="eastAsia" w:ascii="仿宋" w:hAnsi="微软雅黑" w:eastAsia="仿宋"/>
          <w:sz w:val="28"/>
          <w:szCs w:val="28"/>
        </w:rPr>
        <w:t>年</w:t>
      </w:r>
      <w:r>
        <w:rPr>
          <w:rFonts w:hint="eastAsia" w:ascii="仿宋" w:hAnsi="微软雅黑" w:eastAsia="仿宋"/>
          <w:sz w:val="28"/>
          <w:szCs w:val="28"/>
          <w:lang w:val="en-US" w:eastAsia="zh-CN"/>
        </w:rPr>
        <w:t>职业年金由财政统一代编</w:t>
      </w:r>
      <w:r>
        <w:rPr>
          <w:rFonts w:hint="eastAsia" w:ascii="仿宋" w:hAnsi="微软雅黑" w:eastAsia="仿宋"/>
          <w:sz w:val="28"/>
          <w:szCs w:val="28"/>
          <w:lang w:eastAsia="zh-CN"/>
        </w:rPr>
        <w:t>，</w:t>
      </w:r>
      <w:r>
        <w:rPr>
          <w:rFonts w:hint="eastAsia" w:ascii="仿宋" w:hAnsi="微软雅黑" w:eastAsia="仿宋"/>
          <w:sz w:val="28"/>
          <w:szCs w:val="28"/>
          <w:lang w:val="en-US" w:eastAsia="zh-CN"/>
        </w:rPr>
        <w:t>部门减少了职业年金的支出预算，</w:t>
      </w:r>
      <w:r>
        <w:rPr>
          <w:rFonts w:hint="eastAsia" w:ascii="仿宋" w:hAnsi="微软雅黑" w:eastAsia="仿宋"/>
          <w:sz w:val="28"/>
          <w:szCs w:val="28"/>
        </w:rPr>
        <w:t>因此</w:t>
      </w:r>
      <w:r>
        <w:rPr>
          <w:rFonts w:hint="eastAsia" w:ascii="仿宋" w:hAnsi="微软雅黑" w:eastAsia="仿宋"/>
          <w:sz w:val="28"/>
          <w:szCs w:val="28"/>
          <w:lang w:eastAsia="zh-CN"/>
        </w:rPr>
        <w:t>预算数较上年</w:t>
      </w:r>
      <w:r>
        <w:rPr>
          <w:rFonts w:hint="eastAsia" w:ascii="仿宋" w:hAnsi="微软雅黑" w:eastAsia="仿宋"/>
          <w:sz w:val="28"/>
          <w:szCs w:val="28"/>
          <w:lang w:val="en-US" w:eastAsia="zh-CN"/>
        </w:rPr>
        <w:t>减少</w:t>
      </w:r>
      <w:r>
        <w:rPr>
          <w:rFonts w:hint="eastAsia" w:ascii="仿宋" w:hAnsi="微软雅黑" w:eastAsia="仿宋"/>
          <w:sz w:val="28"/>
          <w:szCs w:val="28"/>
        </w:rPr>
        <w:t>。</w:t>
      </w:r>
      <w:r>
        <w:rPr>
          <w:rFonts w:hint="eastAsia" w:ascii="仿宋" w:hAnsi="微软雅黑" w:eastAsia="仿宋"/>
          <w:sz w:val="28"/>
          <w:szCs w:val="28"/>
          <w:lang w:val="en-US" w:eastAsia="zh-CN"/>
        </w:rPr>
        <w:t xml:space="preserve"> </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5、卫生健康支出（类）行政事业单位医疗（款）行政单位医疗（项）：</w:t>
      </w:r>
      <w:r>
        <w:rPr>
          <w:rFonts w:hint="eastAsia" w:ascii="仿宋" w:hAnsi="微软雅黑" w:eastAsia="仿宋"/>
          <w:sz w:val="28"/>
          <w:szCs w:val="28"/>
          <w:lang w:eastAsia="zh-CN"/>
        </w:rPr>
        <w:t>2026</w:t>
      </w:r>
      <w:r>
        <w:rPr>
          <w:rFonts w:hint="eastAsia" w:ascii="仿宋" w:hAnsi="微软雅黑" w:eastAsia="仿宋"/>
          <w:sz w:val="28"/>
          <w:szCs w:val="28"/>
        </w:rPr>
        <w:t>年预算数为3.66万元，比上年预算减少0.48万元，下降11.59%，主要原因是调离1人，因此预算数较上年减少。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6、卫生健康支出（类）行政事业单位医疗（款）公务员医疗补助（项）：</w:t>
      </w:r>
      <w:r>
        <w:rPr>
          <w:rFonts w:hint="eastAsia" w:ascii="仿宋" w:hAnsi="微软雅黑" w:eastAsia="仿宋"/>
          <w:sz w:val="28"/>
          <w:szCs w:val="28"/>
          <w:lang w:eastAsia="zh-CN"/>
        </w:rPr>
        <w:t>2026</w:t>
      </w:r>
      <w:r>
        <w:rPr>
          <w:rFonts w:hint="eastAsia" w:ascii="仿宋" w:hAnsi="微软雅黑" w:eastAsia="仿宋"/>
          <w:sz w:val="28"/>
          <w:szCs w:val="28"/>
        </w:rPr>
        <w:t>年预算数为1.24万元，比上年预算减少0.49万元，下降28.32%，主要原因是调离1人，因此预算数较上年减少。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7、住房保障支出（类）住房改革支出（款）住房公积金（项）：</w:t>
      </w:r>
      <w:r>
        <w:rPr>
          <w:rFonts w:hint="eastAsia" w:ascii="仿宋" w:hAnsi="微软雅黑" w:eastAsia="仿宋"/>
          <w:sz w:val="28"/>
          <w:szCs w:val="28"/>
          <w:lang w:eastAsia="zh-CN"/>
        </w:rPr>
        <w:t>2026</w:t>
      </w:r>
      <w:r>
        <w:rPr>
          <w:rFonts w:hint="eastAsia" w:ascii="仿宋" w:hAnsi="微软雅黑" w:eastAsia="仿宋"/>
          <w:sz w:val="28"/>
          <w:szCs w:val="28"/>
        </w:rPr>
        <w:t>年预算数为6.13万元，比上年预算减少0.63万元，下降9.32%，主要原因是调离1人，因此预算数较上年减少。</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关于额敏县科学技术协会</w:t>
      </w:r>
      <w:r>
        <w:rPr>
          <w:rFonts w:hint="eastAsia" w:ascii="仿宋" w:hAnsi="华文楷体" w:eastAsia="仿宋"/>
          <w:sz w:val="28"/>
          <w:szCs w:val="28"/>
          <w:lang w:eastAsia="zh-CN"/>
        </w:rPr>
        <w:t>2026</w:t>
      </w:r>
      <w:r>
        <w:rPr>
          <w:rFonts w:hint="eastAsia" w:ascii="仿宋" w:hAnsi="华文楷体" w:eastAsia="仿宋"/>
          <w:sz w:val="28"/>
          <w:szCs w:val="28"/>
        </w:rPr>
        <w:t>年一般公共预算基本支出情况说明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额敏县科学技术协会</w:t>
      </w:r>
      <w:r>
        <w:rPr>
          <w:rFonts w:hint="eastAsia" w:ascii="仿宋" w:hAnsi="微软雅黑" w:eastAsia="仿宋"/>
          <w:sz w:val="28"/>
          <w:szCs w:val="28"/>
          <w:lang w:eastAsia="zh-CN"/>
        </w:rPr>
        <w:t>2026</w:t>
      </w:r>
      <w:r>
        <w:rPr>
          <w:rFonts w:hint="eastAsia" w:ascii="仿宋" w:hAnsi="微软雅黑" w:eastAsia="仿宋"/>
          <w:sz w:val="28"/>
          <w:szCs w:val="28"/>
        </w:rPr>
        <w:t>年一般公共预算基本支出80.19万元，其中：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人员经费73.86万元，主要包括：基本工资、津贴补贴、奖金、机关事业单位基本养老保险缴费、职工基本医疗保险缴费、公务员医疗补助缴费、其他社会保障缴费、住房公积金、退休费。</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公用经费6.32万元，主要包括：办公费、印刷费、邮电费、差旅费、培训费、劳务费、工会经费、福利费、公务用车运行维护费、其他交通费用。</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关于额敏县科学技术协会</w:t>
      </w:r>
      <w:r>
        <w:rPr>
          <w:rFonts w:hint="eastAsia" w:ascii="仿宋" w:hAnsi="华文楷体" w:eastAsia="仿宋"/>
          <w:sz w:val="28"/>
          <w:szCs w:val="28"/>
          <w:lang w:eastAsia="zh-CN"/>
        </w:rPr>
        <w:t>2026</w:t>
      </w:r>
      <w:r>
        <w:rPr>
          <w:rFonts w:hint="eastAsia" w:ascii="仿宋" w:hAnsi="华文楷体" w:eastAsia="仿宋"/>
          <w:sz w:val="28"/>
          <w:szCs w:val="28"/>
        </w:rPr>
        <w:t>年一般公共预算项目支出情况说明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额敏县科学技术协会</w:t>
      </w:r>
      <w:r>
        <w:rPr>
          <w:rFonts w:hint="eastAsia" w:ascii="仿宋" w:hAnsi="微软雅黑" w:eastAsia="仿宋"/>
          <w:sz w:val="28"/>
          <w:szCs w:val="28"/>
          <w:lang w:eastAsia="zh-CN"/>
        </w:rPr>
        <w:t>2026</w:t>
      </w:r>
      <w:r>
        <w:rPr>
          <w:rFonts w:hint="eastAsia" w:ascii="仿宋" w:hAnsi="微软雅黑" w:eastAsia="仿宋"/>
          <w:sz w:val="28"/>
          <w:szCs w:val="28"/>
        </w:rPr>
        <w:t>年没有使用一般公共预算安排项目支出，一般公共预算项目支出情况表为空表。</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关于额敏县科学技术协会</w:t>
      </w:r>
      <w:r>
        <w:rPr>
          <w:rFonts w:hint="eastAsia" w:ascii="仿宋" w:hAnsi="华文楷体" w:eastAsia="仿宋"/>
          <w:sz w:val="28"/>
          <w:szCs w:val="28"/>
          <w:lang w:eastAsia="zh-CN"/>
        </w:rPr>
        <w:t>2026</w:t>
      </w:r>
      <w:r>
        <w:rPr>
          <w:rFonts w:hint="eastAsia" w:ascii="仿宋" w:hAnsi="华文楷体" w:eastAsia="仿宋"/>
          <w:sz w:val="28"/>
          <w:szCs w:val="28"/>
        </w:rPr>
        <w:t>年政府性基金预算拨款情况说明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额敏县科学技术协会</w:t>
      </w:r>
      <w:r>
        <w:rPr>
          <w:rFonts w:hint="eastAsia" w:ascii="仿宋" w:hAnsi="微软雅黑" w:eastAsia="仿宋"/>
          <w:sz w:val="28"/>
          <w:szCs w:val="28"/>
          <w:lang w:eastAsia="zh-CN"/>
        </w:rPr>
        <w:t>2026</w:t>
      </w:r>
      <w:r>
        <w:rPr>
          <w:rFonts w:hint="eastAsia" w:ascii="仿宋" w:hAnsi="微软雅黑" w:eastAsia="仿宋"/>
          <w:sz w:val="28"/>
          <w:szCs w:val="28"/>
        </w:rPr>
        <w:t>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关于额敏县科学技术协会</w:t>
      </w:r>
      <w:r>
        <w:rPr>
          <w:rFonts w:hint="eastAsia" w:ascii="仿宋" w:hAnsi="华文楷体" w:eastAsia="仿宋"/>
          <w:sz w:val="28"/>
          <w:szCs w:val="28"/>
          <w:lang w:eastAsia="zh-CN"/>
        </w:rPr>
        <w:t>2026</w:t>
      </w:r>
      <w:r>
        <w:rPr>
          <w:rFonts w:hint="eastAsia" w:ascii="仿宋" w:hAnsi="华文楷体" w:eastAsia="仿宋"/>
          <w:sz w:val="28"/>
          <w:szCs w:val="28"/>
        </w:rPr>
        <w:t>年国有资本经营预算拨款情况说明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额敏县科学技术协会</w:t>
      </w:r>
      <w:r>
        <w:rPr>
          <w:rFonts w:hint="eastAsia" w:ascii="仿宋" w:hAnsi="微软雅黑" w:eastAsia="仿宋"/>
          <w:sz w:val="28"/>
          <w:szCs w:val="28"/>
          <w:lang w:eastAsia="zh-CN"/>
        </w:rPr>
        <w:t>2026</w:t>
      </w:r>
      <w:r>
        <w:rPr>
          <w:rFonts w:hint="eastAsia" w:ascii="仿宋" w:hAnsi="微软雅黑" w:eastAsia="仿宋"/>
          <w:sz w:val="28"/>
          <w:szCs w:val="28"/>
        </w:rPr>
        <w:t>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关于额敏县科学技术协会</w:t>
      </w:r>
      <w:r>
        <w:rPr>
          <w:rFonts w:hint="eastAsia" w:ascii="仿宋" w:hAnsi="华文楷体" w:eastAsia="仿宋"/>
          <w:sz w:val="28"/>
          <w:szCs w:val="28"/>
          <w:lang w:eastAsia="zh-CN"/>
        </w:rPr>
        <w:t>2026</w:t>
      </w:r>
      <w:r>
        <w:rPr>
          <w:rFonts w:hint="eastAsia" w:ascii="仿宋" w:hAnsi="华文楷体" w:eastAsia="仿宋"/>
          <w:sz w:val="28"/>
          <w:szCs w:val="28"/>
        </w:rPr>
        <w:t>年财政拨款“三公”经费预算情况说明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额敏县科学技术协会</w:t>
      </w:r>
      <w:r>
        <w:rPr>
          <w:rFonts w:hint="eastAsia" w:ascii="仿宋" w:hAnsi="微软雅黑" w:eastAsia="仿宋"/>
          <w:sz w:val="28"/>
          <w:szCs w:val="28"/>
          <w:lang w:eastAsia="zh-CN"/>
        </w:rPr>
        <w:t>2026</w:t>
      </w:r>
      <w:r>
        <w:rPr>
          <w:rFonts w:hint="eastAsia" w:ascii="仿宋" w:hAnsi="微软雅黑" w:eastAsia="仿宋"/>
          <w:sz w:val="28"/>
          <w:szCs w:val="28"/>
        </w:rPr>
        <w:t>年财政拨款“三公”经费数为0.48万元，其中：因公出国（境）费0.00万元，公务用车购置费0.00万元，公务用车运行费0.48万元，公务接待费0.00万元。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年财政拨款“三公”经费预算比上年预算增加0.00万元，增长0.00%，其中：因公出国（境）费增加0.00万元，增长0.00%，主要原因是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年均未安排因公出国（境）费用</w:t>
      </w:r>
      <w:r>
        <w:rPr>
          <w:rFonts w:hint="eastAsia" w:ascii="仿宋" w:hAnsi="微软雅黑" w:eastAsia="仿宋"/>
          <w:sz w:val="28"/>
          <w:szCs w:val="28"/>
          <w:lang w:eastAsia="zh-CN"/>
        </w:rPr>
        <w:t>预算</w:t>
      </w:r>
      <w:r>
        <w:rPr>
          <w:rFonts w:hint="eastAsia" w:ascii="仿宋" w:hAnsi="微软雅黑" w:eastAsia="仿宋"/>
          <w:sz w:val="28"/>
          <w:szCs w:val="28"/>
        </w:rPr>
        <w:t>；公务用车购置费增加0.00万元，增长0.00%，主要原因是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w:t>
      </w:r>
      <w:r>
        <w:rPr>
          <w:rFonts w:hint="eastAsia" w:ascii="仿宋" w:hAnsi="微软雅黑" w:eastAsia="仿宋"/>
          <w:sz w:val="28"/>
          <w:szCs w:val="28"/>
          <w:lang w:eastAsia="zh-CN"/>
        </w:rPr>
        <w:t>公务用车购置费预算；</w:t>
      </w:r>
      <w:r>
        <w:rPr>
          <w:rFonts w:hint="eastAsia" w:ascii="仿宋" w:hAnsi="微软雅黑" w:eastAsia="仿宋"/>
          <w:sz w:val="28"/>
          <w:szCs w:val="28"/>
        </w:rPr>
        <w:t>公务用车运行费增加0.00万元，增长0.00%，主要原因是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年公务用车运行费预算安排一致，无变化；公务接待费增加0.00万元，增长0.00%，主要原因是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年均未安排公务接待费预算</w:t>
      </w:r>
      <w:r>
        <w:rPr>
          <w:rFonts w:hint="eastAsia" w:ascii="仿宋" w:hAnsi="微软雅黑" w:eastAsia="仿宋"/>
          <w:sz w:val="28"/>
          <w:szCs w:val="28"/>
          <w:lang w:eastAsia="zh-CN"/>
        </w:rPr>
        <w:t>预算</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关于额敏县科学技术协会</w:t>
      </w:r>
      <w:r>
        <w:rPr>
          <w:rFonts w:hint="eastAsia" w:ascii="仿宋" w:hAnsi="华文楷体" w:eastAsia="仿宋"/>
          <w:sz w:val="28"/>
          <w:szCs w:val="28"/>
          <w:lang w:eastAsia="zh-CN"/>
        </w:rPr>
        <w:t>2026</w:t>
      </w:r>
      <w:r>
        <w:rPr>
          <w:rFonts w:hint="eastAsia" w:ascii="仿宋" w:hAnsi="华文楷体" w:eastAsia="仿宋"/>
          <w:sz w:val="28"/>
          <w:szCs w:val="28"/>
        </w:rPr>
        <w:t>年上年结转结余预算情况说明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额敏县科学技术协会</w:t>
      </w:r>
      <w:r>
        <w:rPr>
          <w:rFonts w:hint="eastAsia" w:ascii="仿宋" w:hAnsi="微软雅黑" w:eastAsia="仿宋"/>
          <w:sz w:val="28"/>
          <w:szCs w:val="28"/>
          <w:lang w:eastAsia="zh-CN"/>
        </w:rPr>
        <w:t>2026</w:t>
      </w:r>
      <w:r>
        <w:rPr>
          <w:rFonts w:hint="eastAsia" w:ascii="仿宋" w:hAnsi="微软雅黑" w:eastAsia="仿宋"/>
          <w:sz w:val="28"/>
          <w:szCs w:val="28"/>
        </w:rPr>
        <w:t>年没有上年结转结余预算安排的支出，上年结转结余情况明细表为空表。</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额敏县科学技术协会</w:t>
      </w:r>
      <w:r>
        <w:rPr>
          <w:rFonts w:hint="eastAsia" w:ascii="仿宋" w:hAnsi="微软雅黑" w:eastAsia="仿宋"/>
          <w:sz w:val="28"/>
          <w:szCs w:val="28"/>
          <w:lang w:eastAsia="zh-CN"/>
        </w:rPr>
        <w:t>2026</w:t>
      </w:r>
      <w:r>
        <w:rPr>
          <w:rFonts w:hint="eastAsia" w:ascii="仿宋" w:hAnsi="微软雅黑" w:eastAsia="仿宋"/>
          <w:sz w:val="28"/>
          <w:szCs w:val="28"/>
        </w:rPr>
        <w:t>年的机关运行经费财政拨款预算6.32万元，比上年预算减少0.16万元，下降2.47%，主要原因是调离1人，</w:t>
      </w:r>
      <w:r>
        <w:rPr>
          <w:rFonts w:hint="eastAsia" w:ascii="仿宋" w:hAnsi="微软雅黑" w:eastAsia="仿宋"/>
          <w:sz w:val="28"/>
          <w:szCs w:val="28"/>
          <w:lang w:val="en-US" w:eastAsia="zh-CN"/>
        </w:rPr>
        <w:t>因此</w:t>
      </w:r>
      <w:r>
        <w:rPr>
          <w:rFonts w:hint="eastAsia" w:ascii="仿宋" w:hAnsi="微软雅黑" w:eastAsia="仿宋"/>
          <w:sz w:val="28"/>
          <w:szCs w:val="28"/>
        </w:rPr>
        <w:t>当年运行经费预算</w:t>
      </w:r>
      <w:r>
        <w:rPr>
          <w:rFonts w:hint="eastAsia" w:ascii="仿宋" w:hAnsi="微软雅黑" w:eastAsia="仿宋"/>
          <w:sz w:val="28"/>
          <w:szCs w:val="28"/>
          <w:lang w:val="en-US" w:eastAsia="zh-CN"/>
        </w:rPr>
        <w:t>数</w:t>
      </w:r>
      <w:r>
        <w:rPr>
          <w:rFonts w:hint="eastAsia" w:ascii="仿宋" w:hAnsi="微软雅黑" w:eastAsia="仿宋"/>
          <w:sz w:val="28"/>
          <w:szCs w:val="28"/>
        </w:rPr>
        <w:t>较上年预算减少。</w:t>
      </w:r>
    </w:p>
    <w:p>
      <w:pPr>
        <w:pStyle w:val="4"/>
        <w:numPr>
          <w:ilvl w:val="0"/>
          <w:numId w:val="3"/>
        </w:numPr>
        <w:spacing w:before="0" w:after="0" w:line="560" w:lineRule="exact"/>
        <w:ind w:left="0" w:firstLine="562" w:firstLineChars="201"/>
        <w:rPr>
          <w:rFonts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年，额敏县科学技术协会政府采购预算3.74万元，其中：政府采购货物预算2.76万元，政府采购工程预算0.00万元，政府采购服务预算0.98万元。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年，额敏县科学技术协会面向中小企业预留政府采购项目预算金额3.74万元，小微企业预留政府采购项目预算金额3.74万元。</w:t>
      </w:r>
    </w:p>
    <w:p>
      <w:pPr>
        <w:pStyle w:val="4"/>
        <w:numPr>
          <w:ilvl w:val="0"/>
          <w:numId w:val="3"/>
        </w:numPr>
        <w:spacing w:before="0" w:after="0" w:line="560" w:lineRule="exact"/>
        <w:ind w:left="0" w:firstLine="562" w:firstLineChars="201"/>
        <w:rPr>
          <w:rFonts w:ascii="楷体" w:eastAsia="楷体"/>
          <w:sz w:val="28"/>
          <w:szCs w:val="28"/>
        </w:rPr>
      </w:pPr>
      <w:r>
        <w:rPr>
          <w:rFonts w:ascii="楷体" w:eastAsia="楷体"/>
          <w:sz w:val="28"/>
          <w:szCs w:val="28"/>
        </w:rPr>
        <w:t>国有资产占用使用情况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截至</w:t>
      </w:r>
      <w:r>
        <w:rPr>
          <w:rFonts w:hint="eastAsia" w:ascii="仿宋" w:hAnsi="微软雅黑" w:eastAsia="仿宋"/>
          <w:sz w:val="28"/>
          <w:szCs w:val="28"/>
          <w:lang w:eastAsia="zh-CN"/>
        </w:rPr>
        <w:t>2025</w:t>
      </w:r>
      <w:r>
        <w:rPr>
          <w:rFonts w:hint="eastAsia" w:ascii="仿宋" w:hAnsi="微软雅黑" w:eastAsia="仿宋"/>
          <w:sz w:val="28"/>
          <w:szCs w:val="28"/>
        </w:rPr>
        <w:t>年底，额敏县科学技术协会占用使用国有资产总体情况为：</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1.房屋0.00平方米，价值0.00万元。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2.车辆2辆，价值27.97万元；其中：一般公务用车1辆，价值9.97万元；执法执勤用车0辆，价值0.00万元；其他车辆1辆，价值18.00万元。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3.办公家具价值1.63万元。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4.其他资产价值2.64万元。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部门价值50万元以上大型设备0台，部门价值100万元以上大型设备0台。</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年部门预算未安排购置车辆经费，安排购置50万元以上大型设备0台，单位价值100万元以上大型设备0台。</w:t>
      </w:r>
    </w:p>
    <w:p>
      <w:pPr>
        <w:pStyle w:val="4"/>
        <w:numPr>
          <w:ilvl w:val="0"/>
          <w:numId w:val="3"/>
        </w:numPr>
        <w:spacing w:before="0" w:after="0" w:line="560" w:lineRule="exact"/>
        <w:ind w:left="0" w:firstLine="562" w:firstLineChars="201"/>
        <w:rPr>
          <w:rFonts w:ascii="楷体" w:eastAsia="楷体"/>
          <w:sz w:val="28"/>
          <w:szCs w:val="28"/>
        </w:rPr>
      </w:pPr>
      <w:r>
        <w:rPr>
          <w:rFonts w:ascii="楷体" w:eastAsia="楷体"/>
          <w:sz w:val="28"/>
          <w:szCs w:val="28"/>
        </w:rPr>
        <w:t>预算绩效情况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年，本部门预算绩效管理整体预算绩效目标1个，涉及预算金额80.1</w:t>
      </w:r>
      <w:r>
        <w:rPr>
          <w:rFonts w:hint="eastAsia" w:ascii="仿宋" w:hAnsi="微软雅黑" w:eastAsia="仿宋"/>
          <w:sz w:val="28"/>
          <w:szCs w:val="28"/>
          <w:lang w:val="en-US" w:eastAsia="zh-CN"/>
        </w:rPr>
        <w:t>9</w:t>
      </w:r>
      <w:r>
        <w:rPr>
          <w:rFonts w:hint="eastAsia" w:ascii="仿宋" w:hAnsi="微软雅黑" w:eastAsia="仿宋"/>
          <w:sz w:val="28"/>
          <w:szCs w:val="28"/>
        </w:rPr>
        <w:t>万元；当年预算安排项目共0个，其中：财政拨款项目涉及预算金额0.00万元；非财政拨款项目涉及预算金额0.00万元。具体情况见下表：</w:t>
      </w:r>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6"/>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额敏县科学技术协会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张杰</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13565284435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全面落实</w:t>
            </w:r>
            <w:r>
              <w:rPr>
                <w:rFonts w:hint="eastAsia"/>
                <w:color w:val="000000"/>
                <w:sz w:val="18"/>
                <w:szCs w:val="18"/>
                <w:lang w:eastAsia="zh-CN"/>
              </w:rPr>
              <w:t>2026</w:t>
            </w:r>
            <w:r>
              <w:rPr>
                <w:rFonts w:hint="eastAsia"/>
                <w:color w:val="000000"/>
                <w:sz w:val="18"/>
                <w:szCs w:val="18"/>
              </w:rPr>
              <w:t>年额敏县科学技术协会工作计划，开展全国科技工作者日、“科技之冬”等科普活动，发挥科协桥梁和纽带作用，加大科普宣传力度；深入实施基层科普行动计划，推动基层乡村科普馆建设；参与各类科技竞赛和科技教育活动；强化企业科协服务能力和水平，提高企业科技创新能力；科技助力乡村振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rFonts w:hint="eastAsia" w:eastAsia="宋体"/>
                <w:sz w:val="18"/>
                <w:szCs w:val="18"/>
                <w:lang w:eastAsia="zh-CN"/>
              </w:rPr>
            </w:pPr>
            <w:r>
              <w:rPr>
                <w:rFonts w:hint="eastAsia"/>
                <w:sz w:val="18"/>
                <w:szCs w:val="18"/>
              </w:rPr>
              <w:t>80.1</w:t>
            </w:r>
            <w:r>
              <w:rPr>
                <w:rFonts w:hint="eastAsia"/>
                <w:sz w:val="18"/>
                <w:szCs w:val="18"/>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“科技之冬”培训农牧民群众人次</w:t>
            </w:r>
          </w:p>
        </w:tc>
        <w:tc>
          <w:tcPr>
            <w:tcW w:w="1448" w:type="dxa"/>
            <w:gridSpan w:val="2"/>
            <w:shd w:val="clear" w:color="auto" w:fill="auto"/>
            <w:vAlign w:val="center"/>
          </w:tcPr>
          <w:p>
            <w:pPr>
              <w:jc w:val="center"/>
              <w:rPr>
                <w:sz w:val="18"/>
                <w:szCs w:val="18"/>
              </w:rPr>
            </w:pPr>
            <w:r>
              <w:rPr>
                <w:rFonts w:hint="eastAsia"/>
                <w:sz w:val="18"/>
                <w:szCs w:val="18"/>
              </w:rPr>
              <w:t>＞=10000人次</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官方抖音账号发布科普视频数</w:t>
            </w:r>
          </w:p>
        </w:tc>
        <w:tc>
          <w:tcPr>
            <w:tcW w:w="1448" w:type="dxa"/>
            <w:gridSpan w:val="2"/>
            <w:shd w:val="clear" w:color="auto" w:fill="auto"/>
            <w:vAlign w:val="center"/>
          </w:tcPr>
          <w:p>
            <w:pPr>
              <w:jc w:val="center"/>
              <w:rPr>
                <w:sz w:val="18"/>
                <w:szCs w:val="18"/>
              </w:rPr>
            </w:pPr>
            <w:r>
              <w:rPr>
                <w:rFonts w:hint="eastAsia"/>
                <w:sz w:val="18"/>
                <w:szCs w:val="18"/>
              </w:rPr>
              <w:t>＞=200条</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打造乡村科普阵地（个）数</w:t>
            </w:r>
          </w:p>
        </w:tc>
        <w:tc>
          <w:tcPr>
            <w:tcW w:w="1448" w:type="dxa"/>
            <w:gridSpan w:val="2"/>
            <w:shd w:val="clear" w:color="auto" w:fill="auto"/>
            <w:vAlign w:val="center"/>
          </w:tcPr>
          <w:p>
            <w:pPr>
              <w:jc w:val="center"/>
              <w:rPr>
                <w:sz w:val="18"/>
                <w:szCs w:val="18"/>
              </w:rPr>
            </w:pPr>
            <w:r>
              <w:rPr>
                <w:rFonts w:hint="eastAsia"/>
                <w:sz w:val="18"/>
                <w:szCs w:val="18"/>
              </w:rPr>
              <w:t>＞=1个</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新建企业科协个数</w:t>
            </w:r>
          </w:p>
        </w:tc>
        <w:tc>
          <w:tcPr>
            <w:tcW w:w="1448" w:type="dxa"/>
            <w:gridSpan w:val="2"/>
            <w:shd w:val="clear" w:color="auto" w:fill="auto"/>
            <w:vAlign w:val="center"/>
          </w:tcPr>
          <w:p>
            <w:pPr>
              <w:jc w:val="center"/>
              <w:rPr>
                <w:sz w:val="18"/>
                <w:szCs w:val="18"/>
              </w:rPr>
            </w:pPr>
            <w:r>
              <w:rPr>
                <w:rFonts w:hint="eastAsia"/>
                <w:sz w:val="18"/>
                <w:szCs w:val="18"/>
              </w:rPr>
              <w:t>＞=3个</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20</w:t>
            </w:r>
          </w:p>
        </w:tc>
      </w:tr>
    </w:tbl>
    <w:p/>
    <w:p>
      <w:pPr>
        <w:pStyle w:val="4"/>
        <w:numPr>
          <w:ilvl w:val="0"/>
          <w:numId w:val="3"/>
        </w:numPr>
        <w:spacing w:before="0" w:after="0" w:line="560" w:lineRule="exact"/>
        <w:ind w:left="0" w:firstLine="562" w:firstLineChars="201"/>
        <w:rPr>
          <w:rFonts w:ascii="楷体" w:eastAsia="楷体"/>
          <w:sz w:val="28"/>
          <w:szCs w:val="28"/>
        </w:rPr>
      </w:pPr>
      <w:r>
        <w:rPr>
          <w:rFonts w:ascii="楷体" w:eastAsia="楷体"/>
          <w:sz w:val="28"/>
          <w:szCs w:val="28"/>
        </w:rPr>
        <w:t>其他需说明的事项</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本部门无其他</w:t>
      </w:r>
      <w:r>
        <w:rPr>
          <w:rFonts w:hint="eastAsia" w:ascii="仿宋" w:hAnsi="微软雅黑" w:eastAsia="仿宋"/>
          <w:sz w:val="28"/>
          <w:szCs w:val="28"/>
          <w:lang w:eastAsia="zh-CN"/>
        </w:rPr>
        <w:t>需要</w:t>
      </w:r>
      <w:r>
        <w:rPr>
          <w:rFonts w:hint="eastAsia" w:ascii="仿宋" w:hAnsi="微软雅黑" w:eastAsia="仿宋"/>
          <w:sz w:val="28"/>
          <w:szCs w:val="28"/>
        </w:rPr>
        <w:t>说明的事项。</w:t>
      </w:r>
    </w:p>
    <w:p>
      <w:pPr>
        <w:pStyle w:val="2"/>
        <w:spacing w:before="156" w:beforeLines="50" w:after="156" w:afterLines="50" w:line="560" w:lineRule="exact"/>
        <w:jc w:val="center"/>
        <w:rPr>
          <w:rFonts w:ascii="黑体" w:eastAsia="黑体"/>
          <w:sz w:val="30"/>
          <w:szCs w:val="30"/>
        </w:rPr>
      </w:pPr>
      <w:r>
        <w:rPr>
          <w:rFonts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部门支出预算的组成部分，是各部门为完成其特定的行政任务或事业发展目标，在基本支出预算之外编制的年度项目支出计划。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额敏县科学技术协会</w:t>
      </w:r>
    </w:p>
    <w:p>
      <w:pPr>
        <w:spacing w:line="560" w:lineRule="exact"/>
        <w:jc w:val="right"/>
        <w:rPr>
          <w:rFonts w:ascii="仿宋" w:eastAsia="仿宋"/>
          <w:sz w:val="28"/>
          <w:szCs w:val="28"/>
        </w:rPr>
      </w:pPr>
      <w:r>
        <w:rPr>
          <w:rFonts w:hint="eastAsia" w:ascii="仿宋" w:hAnsi="CIDFont+F6" w:eastAsia="仿宋"/>
          <w:color w:val="000000"/>
          <w:sz w:val="28"/>
          <w:szCs w:val="28"/>
          <w:lang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rPr>
        <w:t>月1</w:t>
      </w:r>
      <w:r>
        <w:rPr>
          <w:rFonts w:hint="eastAsia" w:ascii="仿宋" w:hAnsi="CIDFont+F6" w:eastAsia="仿宋"/>
          <w:color w:val="000000"/>
          <w:sz w:val="28"/>
          <w:szCs w:val="28"/>
          <w:lang w:val="en-US" w:eastAsia="zh-CN"/>
        </w:rPr>
        <w:t>4</w:t>
      </w:r>
      <w:r>
        <w:rPr>
          <w:rFonts w:hint="eastAsia" w:ascii="仿宋" w:hAnsi="CIDFont+F6" w:eastAsia="仿宋"/>
          <w:color w:val="000000"/>
          <w:sz w:val="28"/>
          <w:szCs w:val="28"/>
        </w:rPr>
        <w:t>日</w:t>
      </w:r>
    </w:p>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2335"/>
    <w:multiLevelType w:val="multilevel"/>
    <w:tmpl w:val="03D8233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BCC1C0F"/>
    <w:multiLevelType w:val="multilevel"/>
    <w:tmpl w:val="1BCC1C0F"/>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E4DC6"/>
    <w:multiLevelType w:val="multilevel"/>
    <w:tmpl w:val="411E4DC6"/>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B758A"/>
    <w:rsid w:val="040D0BF8"/>
    <w:rsid w:val="069A5C32"/>
    <w:rsid w:val="069F546E"/>
    <w:rsid w:val="0EC24D85"/>
    <w:rsid w:val="14E451F0"/>
    <w:rsid w:val="168674E3"/>
    <w:rsid w:val="17D5445E"/>
    <w:rsid w:val="23BD6C85"/>
    <w:rsid w:val="24DA6530"/>
    <w:rsid w:val="30214C20"/>
    <w:rsid w:val="347A77AB"/>
    <w:rsid w:val="37FD2A05"/>
    <w:rsid w:val="392A7BF8"/>
    <w:rsid w:val="3ACE6C44"/>
    <w:rsid w:val="42F417DB"/>
    <w:rsid w:val="4BAD083C"/>
    <w:rsid w:val="4C8029F4"/>
    <w:rsid w:val="4D1578BE"/>
    <w:rsid w:val="518D5CE7"/>
    <w:rsid w:val="690A2CC1"/>
    <w:rsid w:val="71DC13A8"/>
    <w:rsid w:val="724E4769"/>
    <w:rsid w:val="73243E22"/>
    <w:rsid w:val="76E14F31"/>
    <w:rsid w:val="79B92755"/>
    <w:rsid w:val="7ADD3F55"/>
    <w:rsid w:val="7C332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unhideWhenUsed="0" w:uiPriority="99" w:semiHidden="0" w:name="footnote text"/>
    <w:lsdException w:unhideWhenUsed="0" w:uiPriority="99" w:semiHidden="0" w:name="annotation text"/>
    <w:lsdException w:unhideWhenUsed="0" w:uiPriority="99" w:semiHidden="0" w:name="header"/>
    <w:lsdException w:qFormat="1" w:unhideWhenUsed="0" w:uiPriority="0" w:semiHidden="0"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unhideWhenUsed="0" w:uiPriority="99" w:semiHidden="0" w:name="envelope return"/>
    <w:lsdException w:unhideWhenUsed="0" w:uiPriority="99" w:semiHidden="0" w:name="footnote reference"/>
    <w:lsdException w:unhideWhenUsed="0" w:uiPriority="99" w:semiHidden="0" w:name="annotation reference"/>
    <w:lsdException w:unhideWhenUsed="0" w:uiPriority="99" w:semiHidden="0" w:name="line number"/>
    <w:lsdException w:unhideWhenUsed="0" w:uiPriority="99"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qFormat="1" w:unhideWhenUsed="0" w:uiPriority="0" w:name="Default Paragraph Font"/>
    <w:lsdException w:unhideWhenUsed="0" w:uiPriority="99" w:semiHidden="0" w:name="Body Text"/>
    <w:lsdException w:unhideWhenUsed="0" w:uiPriority="99"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nhideWhenUsed="0" w:uiPriority="99" w:semiHidden="0" w:name="Salutation"/>
    <w:lsdException w:unhideWhenUsed="0" w:uiPriority="99" w:semiHidden="0" w:name="Date"/>
    <w:lsdException w:unhideWhenUsed="0" w:uiPriority="99" w:semiHidden="0" w:name="Body Text First Indent"/>
    <w:lsdException w:unhideWhenUsed="0" w:uiPriority="99" w:semiHidden="0" w:name="Body Text First Indent 2"/>
    <w:lsdException w:unhideWhenUsed="0" w:uiPriority="99" w:semiHidden="0" w:name="Note Heading"/>
    <w:lsdException w:unhideWhenUsed="0" w:uiPriority="99"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unhideWhenUsed="0" w:uiPriority="99" w:semiHidden="0" w:name="Hyperlink"/>
    <w:lsdException w:unhideWhenUsed="0" w:uiPriority="99" w:semiHidden="0" w:name="FollowedHyperlink"/>
    <w:lsdException w:unhideWhenUsed="0" w:uiPriority="99" w:semiHidden="0" w:name="Strong"/>
    <w:lsdException w:unhideWhenUsed="0" w:uiPriority="99" w:semiHidden="0" w:name="Emphasis"/>
    <w:lsdException w:unhideWhenUsed="0" w:uiPriority="99" w:semiHidden="0" w:name="Document Map"/>
    <w:lsdException w:unhideWhenUsed="0" w:uiPriority="99" w:semiHidden="0" w:name="Plain Text"/>
    <w:lsdException w:unhideWhenUsed="0" w:uiPriority="99" w:semiHidden="0" w:name="E-mail Signature"/>
    <w:lsdException w:unhideWhenUsed="0" w:uiPriority="99"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nhideWhenUsed="0" w:uiPriority="0" w:name="Normal Table"/>
    <w:lsdException w:unhideWhenUsed="0" w:uiPriority="99" w:semiHidden="0"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unhideWhenUsed="0" w:uiPriority="99" w:semiHidden="0" w:name="Balloon Text"/>
    <w:lsdException w:unhideWhenUsed="0"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ascii="Times New Roman" w:hAnsi="Times New Roman"/>
      <w:b/>
      <w:sz w:val="32"/>
      <w:szCs w:val="32"/>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customStyle="1" w:styleId="8">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7666</Words>
  <Characters>9235</Characters>
  <Lines>0</Lines>
  <Paragraphs>0</Paragraphs>
  <TotalTime>0</TotalTime>
  <ScaleCrop>false</ScaleCrop>
  <LinksUpToDate>false</LinksUpToDate>
  <CharactersWithSpaces>9539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2026-02-14T05:15:57Z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KSOTemplateDocerSaveRecord">
    <vt:lpwstr>eyJoZGlkIjoiNzFhZDliZTU1NDgyZjE5Mjk4NDYyZGU3MGE0MGU3MDMiLCJ1c2VySWQiOiI0MDc4MjI4MzYifQ==</vt:lpwstr>
  </property>
  <property fmtid="{D5CDD505-2E9C-101B-9397-08002B2CF9AE}" pid="4" name="ICV">
    <vt:lpwstr>2FDEC7973EA549D69420C947F22DF3B8_12</vt:lpwstr>
  </property>
</Properties>
</file>