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auto"/>
          <w:sz w:val="44"/>
          <w:szCs w:val="44"/>
          <w:highlight w:val="none"/>
          <w:lang w:val="en-US" w:eastAsia="zh-CN"/>
        </w:rPr>
      </w:pPr>
      <w:bookmarkStart w:id="3" w:name="_GoBack"/>
      <w:bookmarkEnd w:id="3"/>
      <w:r>
        <w:rPr>
          <w:rFonts w:hint="eastAsia" w:ascii="黑体" w:hAnsi="ArialUnicodeMS" w:eastAsia="黑体"/>
          <w:color w:val="auto"/>
          <w:sz w:val="44"/>
          <w:szCs w:val="44"/>
          <w:highlight w:val="none"/>
          <w:lang w:val="en-US" w:eastAsia="zh-CN"/>
        </w:rPr>
        <w:t xml:space="preserve">  </w:t>
      </w: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rPr>
        <w:t>额敏县上户镇寄宿制学校</w:t>
      </w: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lang w:eastAsia="zh-CN"/>
        </w:rPr>
        <w:t>2026</w:t>
      </w:r>
      <w:r>
        <w:rPr>
          <w:rFonts w:hint="eastAsia" w:ascii="黑体" w:hAnsi="ArialUnicodeMS" w:eastAsia="黑体"/>
          <w:color w:val="auto"/>
          <w:sz w:val="44"/>
          <w:szCs w:val="44"/>
          <w:highlight w:val="none"/>
        </w:rPr>
        <w:t>年部门预算公开</w:t>
      </w:r>
    </w:p>
    <w:p>
      <w:pPr>
        <w:jc w:val="center"/>
        <w:rPr>
          <w:rFonts w:ascii="黑体" w:eastAsia="黑体"/>
          <w:color w:val="auto"/>
          <w:sz w:val="36"/>
          <w:szCs w:val="36"/>
          <w:highlight w:val="none"/>
        </w:rPr>
      </w:pPr>
      <w:r>
        <w:rPr>
          <w:rFonts w:hint="eastAsia" w:ascii="ArialUnicodeMS" w:hAnsi="ArialUnicodeMS"/>
          <w:color w:val="auto"/>
          <w:sz w:val="44"/>
          <w:szCs w:val="44"/>
          <w:highlight w:val="none"/>
        </w:rPr>
        <w:br w:type="page"/>
      </w:r>
      <w:r>
        <w:rPr>
          <w:rFonts w:hint="eastAsia" w:ascii="黑体" w:eastAsia="黑体"/>
          <w:color w:val="auto"/>
          <w:sz w:val="36"/>
          <w:szCs w:val="36"/>
          <w:highlight w:val="none"/>
        </w:rPr>
        <w:t>目 录</w:t>
      </w:r>
    </w:p>
    <w:p>
      <w:pPr>
        <w:spacing w:line="560" w:lineRule="exact"/>
        <w:jc w:val="center"/>
        <w:rPr>
          <w:rFonts w:ascii="黑体" w:eastAsia="黑体"/>
          <w:color w:val="auto"/>
          <w:sz w:val="36"/>
          <w:szCs w:val="36"/>
          <w:highlight w:val="none"/>
        </w:rPr>
      </w:pP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第一部分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年部门概况</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主要职能</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机构设置及人员情况</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第二部分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年部门预算公开表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部门收支总体情况表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部门收入总体情况表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 部门支出总体情况表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四、 财政拨款收支预算总体情况表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 一般公共预算支出情况表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六、 一般公共预算基本支出情况表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七、 一般公共预算项目支出情况表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八、 政府性基金预算支出情况表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九、 国有资本经营预算支出情况表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 财政拨款“三公”经费支出情况表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十一、 上年结转结余情况明细表</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第三部分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年收支预算情况的总体说明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年收入预算情况说明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年支出预算情况说明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四、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年财政拨款收支预算情况的总体说明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六、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七、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八、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九、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年财政拨款“三公”经费预算情况说明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十一、 关于额敏县上户镇寄宿制学校</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年上年结转结余预算情况说明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十二、 其他重要事项的情况说明</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第四部分 名词解释</w:t>
      </w:r>
    </w:p>
    <w:p>
      <w:pPr>
        <w:jc w:val="left"/>
        <w:rPr>
          <w:rFonts w:ascii="宋体" w:hAnsi="宋体"/>
          <w:color w:val="auto"/>
          <w:sz w:val="18"/>
          <w:szCs w:val="18"/>
          <w:highlight w:val="none"/>
        </w:rPr>
      </w:pPr>
    </w:p>
    <w:p>
      <w:pPr>
        <w:pStyle w:val="2"/>
        <w:spacing w:before="156" w:beforeLines="50" w:after="156" w:afterLines="50" w:line="560" w:lineRule="exact"/>
        <w:jc w:val="center"/>
        <w:rPr>
          <w:rFonts w:ascii="黑体" w:eastAsia="黑体"/>
          <w:color w:val="auto"/>
          <w:sz w:val="30"/>
          <w:szCs w:val="30"/>
          <w:highlight w:val="none"/>
        </w:rPr>
      </w:pPr>
      <w:r>
        <w:rPr>
          <w:rFonts w:ascii="黑体" w:eastAsia="黑体"/>
          <w:color w:val="auto"/>
          <w:sz w:val="30"/>
          <w:szCs w:val="30"/>
          <w:highlight w:val="none"/>
        </w:rPr>
        <w:br w:type="page"/>
      </w:r>
      <w:r>
        <w:rPr>
          <w:rFonts w:hint="eastAsia" w:ascii="黑体" w:eastAsia="黑体"/>
          <w:color w:val="auto"/>
          <w:sz w:val="30"/>
          <w:szCs w:val="30"/>
          <w:highlight w:val="none"/>
        </w:rPr>
        <w:t xml:space="preserve">第一部分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年部门概况</w:t>
      </w:r>
    </w:p>
    <w:p>
      <w:pPr>
        <w:pStyle w:val="3"/>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主要职能</w:t>
      </w:r>
    </w:p>
    <w:p>
      <w:pPr>
        <w:pStyle w:val="8"/>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1、按照上级有关部门的规定、负责对本镇义务教育的基建进行管理。</w:t>
      </w:r>
    </w:p>
    <w:p>
      <w:pPr>
        <w:pStyle w:val="8"/>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2、按照九年义务教育课程计划开齐课程开足课时、认真实施中小学的教育教学管理、推进素质教育、全面提高教育教学质量。</w:t>
      </w:r>
    </w:p>
    <w:p>
      <w:pPr>
        <w:pStyle w:val="8"/>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3、组织开展本镇中小学的教育教学科研和教育教学改革、以科研兴教、以科研兴校。</w:t>
      </w:r>
    </w:p>
    <w:p>
      <w:pPr>
        <w:pStyle w:val="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4、贯彻执行国家教育政策、法规，落实高中教育阶段教学计划、完成相应的教育教学工作任务。</w:t>
      </w:r>
    </w:p>
    <w:p>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5、做好学生特别是住宿学生的后勤服务安全保障、营养改善工作、确保学生身心健康发展。</w:t>
      </w:r>
    </w:p>
    <w:p>
      <w:pPr>
        <w:pStyle w:val="3"/>
        <w:numPr>
          <w:ilvl w:val="0"/>
          <w:numId w:val="1"/>
        </w:numPr>
        <w:spacing w:before="0" w:after="0" w:line="560" w:lineRule="exact"/>
        <w:ind w:left="0" w:firstLine="565"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机构设置及人员情况</w:t>
      </w:r>
    </w:p>
    <w:p>
      <w:pPr>
        <w:pStyle w:val="8"/>
        <w:pageBreakBefore w:val="0"/>
        <w:widowControl w:val="0"/>
        <w:kinsoku/>
        <w:wordWrap/>
        <w:overflowPunct/>
        <w:topLinePunct w:val="0"/>
        <w:autoSpaceDE/>
        <w:autoSpaceDN/>
        <w:bidi w:val="0"/>
        <w:adjustRightInd/>
        <w:snapToGrid/>
        <w:spacing w:line="560" w:lineRule="atLeast"/>
        <w:ind w:firstLine="56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额敏县上户镇寄宿制学校无下属预算单位，下设8个处室，分别是：教务办公室、德育室、财务办公室、资助室、党建室、人事办公室、安全办公室、校委办公室。</w:t>
      </w:r>
    </w:p>
    <w:p>
      <w:pPr>
        <w:pStyle w:val="8"/>
        <w:pageBreakBefore w:val="0"/>
        <w:widowControl w:val="0"/>
        <w:kinsoku/>
        <w:wordWrap/>
        <w:overflowPunct/>
        <w:topLinePunct w:val="0"/>
        <w:autoSpaceDE/>
        <w:autoSpaceDN/>
        <w:bidi w:val="0"/>
        <w:adjustRightInd/>
        <w:snapToGrid/>
        <w:spacing w:line="560" w:lineRule="atLeast"/>
        <w:ind w:firstLine="560"/>
        <w:textAlignment w:val="auto"/>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rPr>
        <w:t>额敏县上户镇寄宿制学校编制数108，实有人数219人，其中：在职128人，减少5人；退休91人，增加1人；离休0人，增加0人。</w:t>
      </w:r>
      <w:r>
        <w:rPr>
          <w:rFonts w:hint="eastAsia" w:ascii="仿宋" w:hAnsi="仿宋" w:eastAsia="仿宋"/>
          <w:color w:val="auto"/>
          <w:sz w:val="28"/>
          <w:szCs w:val="28"/>
          <w:highlight w:val="none"/>
          <w:lang w:val="en-US" w:eastAsia="zh-CN"/>
        </w:rPr>
        <w:t xml:space="preserve"> </w:t>
      </w:r>
    </w:p>
    <w:p>
      <w:pPr>
        <w:pStyle w:val="2"/>
        <w:pageBreakBefore w:val="0"/>
        <w:widowControl w:val="0"/>
        <w:kinsoku/>
        <w:wordWrap/>
        <w:overflowPunct/>
        <w:topLinePunct w:val="0"/>
        <w:autoSpaceDE/>
        <w:autoSpaceDN/>
        <w:bidi w:val="0"/>
        <w:adjustRightInd/>
        <w:snapToGrid/>
        <w:spacing w:before="156" w:beforeLines="50" w:after="156" w:afterLines="50" w:line="560" w:lineRule="atLeast"/>
        <w:jc w:val="center"/>
        <w:textAlignment w:val="auto"/>
        <w:rPr>
          <w:rFonts w:ascii="黑体" w:eastAsia="黑体"/>
          <w:color w:val="auto"/>
          <w:sz w:val="30"/>
          <w:szCs w:val="30"/>
          <w:highlight w:val="none"/>
        </w:rPr>
      </w:pPr>
      <w:r>
        <w:rPr>
          <w:rFonts w:hint="eastAsia" w:ascii="仿宋" w:hAnsi="仿宋" w:eastAsia="仿宋"/>
          <w:color w:val="auto"/>
          <w:sz w:val="28"/>
          <w:szCs w:val="28"/>
          <w:highlight w:val="none"/>
        </w:rPr>
        <w:br w:type="page"/>
      </w:r>
      <w:r>
        <w:rPr>
          <w:rFonts w:hint="eastAsia" w:ascii="黑体" w:eastAsia="黑体"/>
          <w:color w:val="auto"/>
          <w:sz w:val="30"/>
          <w:szCs w:val="30"/>
          <w:highlight w:val="none"/>
        </w:rPr>
        <w:t xml:space="preserve">第二部分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年部门预算公开表</w:t>
      </w:r>
    </w:p>
    <w:p>
      <w:pPr>
        <w:jc w:val="left"/>
        <w:rPr>
          <w:rFonts w:ascii="宋体" w:hAnsi="宋体"/>
          <w:color w:val="auto"/>
          <w:sz w:val="18"/>
          <w:szCs w:val="18"/>
          <w:highlight w:val="none"/>
        </w:rPr>
      </w:pPr>
      <w:r>
        <w:rPr>
          <w:rFonts w:hint="eastAsia" w:ascii="宋体" w:hAnsi="宋体"/>
          <w:color w:val="auto"/>
          <w:sz w:val="18"/>
          <w:szCs w:val="18"/>
          <w:highlight w:val="none"/>
        </w:rPr>
        <w:t>表1</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部门收支总体情况表</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auto"/>
                <w:sz w:val="18"/>
                <w:szCs w:val="18"/>
                <w:highlight w:val="none"/>
              </w:rPr>
            </w:pPr>
            <w:r>
              <w:rPr>
                <w:rFonts w:hint="eastAsia"/>
                <w:color w:val="auto"/>
                <w:sz w:val="18"/>
                <w:szCs w:val="18"/>
                <w:highlight w:val="none"/>
              </w:rPr>
              <w:t>编制部门：额敏县上户镇寄宿制学校</w:t>
            </w:r>
          </w:p>
        </w:tc>
        <w:tc>
          <w:tcPr>
            <w:tcW w:w="1150" w:type="dxa"/>
            <w:tcBorders>
              <w:top w:val="nil"/>
              <w:left w:val="nil"/>
              <w:bottom w:val="single" w:color="auto" w:sz="4" w:space="0"/>
              <w:right w:val="nil"/>
            </w:tcBorders>
            <w:shd w:val="clear" w:color="auto" w:fill="auto"/>
          </w:tcPr>
          <w:p>
            <w:pPr>
              <w:jc w:val="right"/>
              <w:rPr>
                <w:rFonts w:ascii="宋体" w:hAnsi="宋体"/>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auto"/>
                <w:sz w:val="18"/>
                <w:szCs w:val="18"/>
                <w:highlight w:val="none"/>
              </w:rPr>
            </w:pPr>
            <w:r>
              <w:rPr>
                <w:rFonts w:hint="eastAsia" w:ascii="宋体" w:hAnsi="宋体"/>
                <w:b/>
                <w:color w:val="auto"/>
                <w:sz w:val="18"/>
                <w:szCs w:val="18"/>
                <w:highlight w:val="none"/>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auto"/>
                <w:sz w:val="18"/>
                <w:szCs w:val="18"/>
                <w:highlight w:val="none"/>
              </w:rPr>
            </w:pPr>
            <w:r>
              <w:rPr>
                <w:rFonts w:hint="eastAsia" w:ascii="宋体" w:hAnsi="宋体"/>
                <w:b/>
                <w:color w:val="auto"/>
                <w:sz w:val="18"/>
                <w:szCs w:val="18"/>
                <w:highlight w:val="none"/>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一、本年收入</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2,668.28</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201 一般公共服务支出</w:t>
            </w: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1.一般公共预算拨款</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2,652.02</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202 外交支出</w:t>
            </w: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其中：一般财力</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2,608.14</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203 国防支出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上级一般公共预算安排转移支付</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43.88</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204 公共安全支出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2.政府性基金预算拨款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205 教育支出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1,983.51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其中：政府性基金收入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206 科学技术支出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 xml:space="preserve">      上级政府性基金安排转移支付</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207 文化旅游体育与传媒支出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3.国有资本经营预算拨款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208 社会保障和就业支出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350.06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其中：国有资本经营收入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209 社会保险基金支出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上级国有资本经营预算安排转移支付</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210 卫生健康支出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124.39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4.财政专户核拨</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211 节能环保支出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5.单位资金</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16.26</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212 城乡社区支出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其中：事业收入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213 农林水支出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上级补助收入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214 交通运输支出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附属单位上缴收入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215 资源勘探工业信息等支出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事业单位经营收入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216 商业服务业等支出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其他收入</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16.26</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217 金融支出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二、上年结转结余</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1.41</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219 援助其他地区支出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1.财政拨款结转</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1.41</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220 自然资源海洋气象等支出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其中：一般公共预算拨款</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1.41</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221 住房保障支出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211.73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政府性基金预算拨款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222 粮油物资储备支出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国有资本经营预算拨款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223 国有资本经营预算支出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2.非财政拨款结转结余</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224 灾害防治及应急管理支出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其中：财政专户核拨</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227 预备费</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单位资金</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229 其他支出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230 转移性支出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231 债务还本支出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232 债务付息支出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233 债务发行费用支出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tcPr>
          <w:p>
            <w:pPr>
              <w:rPr>
                <w:rFonts w:ascii="宋体" w:hAnsi="宋体" w:cs="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auto"/>
                <w:sz w:val="18"/>
                <w:szCs w:val="18"/>
                <w:highlight w:val="none"/>
              </w:rPr>
            </w:pPr>
            <w:r>
              <w:rPr>
                <w:rFonts w:hint="eastAsia" w:ascii="宋体" w:hAnsi="宋体"/>
                <w:b/>
                <w:color w:val="auto"/>
                <w:sz w:val="18"/>
                <w:szCs w:val="18"/>
                <w:highlight w:val="none"/>
              </w:rPr>
              <w:t>收 入 总 计</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2,669.68</w:t>
            </w:r>
          </w:p>
        </w:tc>
        <w:tc>
          <w:tcPr>
            <w:tcW w:w="3600" w:type="dxa"/>
            <w:shd w:val="clear" w:color="auto" w:fill="auto"/>
          </w:tcPr>
          <w:p>
            <w:pPr>
              <w:jc w:val="center"/>
              <w:rPr>
                <w:rFonts w:ascii="宋体" w:hAnsi="宋体" w:cs="宋体"/>
                <w:color w:val="auto"/>
                <w:sz w:val="18"/>
                <w:szCs w:val="18"/>
                <w:highlight w:val="none"/>
              </w:rPr>
            </w:pPr>
            <w:r>
              <w:rPr>
                <w:rFonts w:hint="eastAsia" w:ascii="宋体" w:hAnsi="宋体"/>
                <w:b/>
                <w:color w:val="auto"/>
                <w:sz w:val="18"/>
                <w:szCs w:val="18"/>
                <w:highlight w:val="none"/>
              </w:rPr>
              <w:t>支 出 总 计</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2,669.68</w:t>
            </w:r>
          </w:p>
        </w:tc>
      </w:tr>
    </w:tbl>
    <w:p>
      <w:pPr>
        <w:widowControl/>
        <w:jc w:val="left"/>
        <w:rPr>
          <w:rFonts w:ascii="仿宋" w:eastAsia="仿宋"/>
          <w:b/>
          <w:color w:val="auto"/>
          <w:szCs w:val="21"/>
          <w:highlight w:val="none"/>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表2</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部门收入总体情况表</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color w:val="auto"/>
                <w:sz w:val="18"/>
                <w:szCs w:val="18"/>
                <w:highlight w:val="none"/>
              </w:rPr>
            </w:pPr>
            <w:r>
              <w:rPr>
                <w:rFonts w:hint="eastAsia"/>
                <w:color w:val="auto"/>
                <w:sz w:val="18"/>
                <w:szCs w:val="18"/>
                <w:highlight w:val="none"/>
              </w:rPr>
              <w:t>编制部门：额敏县上户镇寄宿制学校</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总计</w:t>
            </w:r>
          </w:p>
        </w:tc>
        <w:tc>
          <w:tcPr>
            <w:tcW w:w="6865" w:type="dxa"/>
            <w:gridSpan w:val="8"/>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财政拨款（补助）</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财政专户（教育收费）</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单位资金</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财政拨款结转</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类</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款</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项</w:t>
            </w:r>
          </w:p>
        </w:tc>
        <w:tc>
          <w:tcPr>
            <w:tcW w:w="2433" w:type="dxa"/>
            <w:vMerge w:val="continue"/>
            <w:shd w:val="clear" w:color="auto" w:fill="auto"/>
            <w:vAlign w:val="center"/>
          </w:tcPr>
          <w:p>
            <w:pPr>
              <w:jc w:val="center"/>
              <w:rPr>
                <w:rFonts w:ascii="宋体" w:hAnsi="宋体"/>
                <w:color w:val="auto"/>
                <w:sz w:val="18"/>
                <w:szCs w:val="18"/>
                <w:highlight w:val="none"/>
              </w:rPr>
            </w:pPr>
          </w:p>
        </w:tc>
        <w:tc>
          <w:tcPr>
            <w:tcW w:w="1070" w:type="dxa"/>
            <w:vMerge w:val="continue"/>
            <w:shd w:val="clear" w:color="auto" w:fill="auto"/>
            <w:vAlign w:val="center"/>
          </w:tcPr>
          <w:p>
            <w:pPr>
              <w:jc w:val="center"/>
              <w:rPr>
                <w:rFonts w:ascii="宋体" w:hAnsi="宋体"/>
                <w:color w:val="auto"/>
                <w:sz w:val="18"/>
                <w:szCs w:val="18"/>
                <w:highlight w:val="none"/>
              </w:rPr>
            </w:pPr>
          </w:p>
        </w:tc>
        <w:tc>
          <w:tcPr>
            <w:tcW w:w="1128"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财政拨款(补助)小计</w:t>
            </w:r>
          </w:p>
        </w:tc>
        <w:tc>
          <w:tcPr>
            <w:tcW w:w="1082"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一般公共预算</w:t>
            </w:r>
          </w:p>
        </w:tc>
        <w:tc>
          <w:tcPr>
            <w:tcW w:w="1082"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上级一般公共预算安排的转移支付</w:t>
            </w:r>
          </w:p>
        </w:tc>
        <w:tc>
          <w:tcPr>
            <w:tcW w:w="328" w:type="dxa"/>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政府性基金预算</w:t>
            </w:r>
          </w:p>
        </w:tc>
        <w:tc>
          <w:tcPr>
            <w:tcW w:w="1442" w:type="dxa"/>
            <w:gridSpan w:val="2"/>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上级政府性基金安排的转移支付</w:t>
            </w:r>
          </w:p>
        </w:tc>
        <w:tc>
          <w:tcPr>
            <w:tcW w:w="885"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国有资本经营预算</w:t>
            </w:r>
          </w:p>
        </w:tc>
        <w:tc>
          <w:tcPr>
            <w:tcW w:w="918"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上级国有资本经营预算安排的转移支付</w:t>
            </w: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433"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107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1128"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1082"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082"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328" w:type="dxa"/>
          </w:tcPr>
          <w:p>
            <w:pPr>
              <w:jc w:val="center"/>
              <w:rPr>
                <w:rFonts w:ascii="宋体" w:hAnsi="宋体"/>
                <w:color w:val="auto"/>
                <w:sz w:val="18"/>
                <w:szCs w:val="18"/>
                <w:highlight w:val="none"/>
              </w:rPr>
            </w:pPr>
            <w:r>
              <w:rPr>
                <w:rFonts w:hint="eastAsia" w:ascii="宋体" w:hAnsi="宋体"/>
                <w:color w:val="auto"/>
                <w:sz w:val="18"/>
                <w:szCs w:val="18"/>
                <w:highlight w:val="none"/>
              </w:rPr>
              <w:t>5</w:t>
            </w:r>
          </w:p>
        </w:tc>
        <w:tc>
          <w:tcPr>
            <w:tcW w:w="1442" w:type="dxa"/>
            <w:gridSpan w:val="2"/>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6</w:t>
            </w:r>
          </w:p>
        </w:tc>
        <w:tc>
          <w:tcPr>
            <w:tcW w:w="885"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7</w:t>
            </w:r>
          </w:p>
        </w:tc>
        <w:tc>
          <w:tcPr>
            <w:tcW w:w="918" w:type="dxa"/>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876" w:type="dxa"/>
          </w:tcPr>
          <w:p>
            <w:pPr>
              <w:jc w:val="center"/>
              <w:rPr>
                <w:rFonts w:ascii="宋体" w:hAnsi="宋体"/>
                <w:color w:val="auto"/>
                <w:sz w:val="18"/>
                <w:szCs w:val="18"/>
                <w:highlight w:val="none"/>
              </w:rPr>
            </w:pPr>
            <w:r>
              <w:rPr>
                <w:rFonts w:hint="eastAsia" w:ascii="宋体" w:hAnsi="宋体"/>
                <w:color w:val="auto"/>
                <w:sz w:val="18"/>
                <w:szCs w:val="18"/>
                <w:highlight w:val="none"/>
              </w:rPr>
              <w:t>9</w:t>
            </w:r>
          </w:p>
        </w:tc>
        <w:tc>
          <w:tcPr>
            <w:tcW w:w="876" w:type="dxa"/>
          </w:tcPr>
          <w:p>
            <w:pPr>
              <w:jc w:val="center"/>
              <w:rPr>
                <w:rFonts w:ascii="宋体" w:hAnsi="宋体"/>
                <w:color w:val="auto"/>
                <w:sz w:val="18"/>
                <w:szCs w:val="18"/>
                <w:highlight w:val="none"/>
              </w:rPr>
            </w:pPr>
            <w:r>
              <w:rPr>
                <w:rFonts w:hint="eastAsia" w:ascii="宋体" w:hAnsi="宋体"/>
                <w:color w:val="auto"/>
                <w:sz w:val="18"/>
                <w:szCs w:val="18"/>
                <w:highlight w:val="none"/>
              </w:rPr>
              <w:t>10</w:t>
            </w:r>
          </w:p>
        </w:tc>
        <w:tc>
          <w:tcPr>
            <w:tcW w:w="876" w:type="dxa"/>
          </w:tcPr>
          <w:p>
            <w:pPr>
              <w:jc w:val="center"/>
              <w:rPr>
                <w:rFonts w:hint="eastAsia" w:ascii="宋体" w:hAnsi="宋体"/>
                <w:color w:val="auto"/>
                <w:sz w:val="18"/>
                <w:szCs w:val="18"/>
                <w:highlight w:val="none"/>
              </w:rPr>
            </w:pPr>
            <w:r>
              <w:rPr>
                <w:rFonts w:hint="eastAsia" w:ascii="宋体" w:hAnsi="宋体"/>
                <w:color w:val="auto"/>
                <w:sz w:val="18"/>
                <w:szCs w:val="18"/>
                <w:highlight w:val="none"/>
              </w:rPr>
              <w:t>11</w:t>
            </w:r>
          </w:p>
        </w:tc>
        <w:tc>
          <w:tcPr>
            <w:tcW w:w="876" w:type="dxa"/>
          </w:tcPr>
          <w:p>
            <w:pPr>
              <w:jc w:val="center"/>
              <w:rPr>
                <w:rFonts w:hint="eastAsia" w:ascii="宋体" w:hAnsi="宋体"/>
                <w:color w:val="auto"/>
                <w:sz w:val="18"/>
                <w:szCs w:val="18"/>
                <w:highlight w:val="none"/>
              </w:rPr>
            </w:pPr>
            <w:r>
              <w:rPr>
                <w:rFonts w:hint="eastAsia" w:ascii="宋体" w:hAnsi="宋体"/>
                <w:color w:val="auto"/>
                <w:sz w:val="18"/>
                <w:szCs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总计</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2,669.68</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2,652.02</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2,608.14</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43.88</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16.26</w:t>
            </w:r>
          </w:p>
        </w:tc>
        <w:tc>
          <w:tcPr>
            <w:tcW w:w="876" w:type="dxa"/>
            <w:vAlign w:val="center"/>
          </w:tcPr>
          <w:p>
            <w:pPr>
              <w:jc w:val="right"/>
              <w:rPr>
                <w:rFonts w:hint="eastAsia" w:ascii="宋体" w:hAnsi="宋体"/>
                <w:b/>
                <w:color w:val="auto"/>
                <w:sz w:val="18"/>
                <w:szCs w:val="18"/>
                <w:highlight w:val="none"/>
              </w:rPr>
            </w:pPr>
            <w:r>
              <w:rPr>
                <w:rFonts w:hint="eastAsia" w:ascii="宋体" w:hAnsi="宋体"/>
                <w:b/>
                <w:color w:val="auto"/>
                <w:sz w:val="15"/>
                <w:szCs w:val="15"/>
                <w:highlight w:val="none"/>
              </w:rPr>
              <w:t>1.41</w:t>
            </w: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205</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教育支出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1,983.51</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1,965.84</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1,921.96</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43.88</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16.26</w:t>
            </w:r>
          </w:p>
        </w:tc>
        <w:tc>
          <w:tcPr>
            <w:tcW w:w="876" w:type="dxa"/>
            <w:vAlign w:val="center"/>
          </w:tcPr>
          <w:p>
            <w:pPr>
              <w:jc w:val="right"/>
              <w:rPr>
                <w:rFonts w:hint="eastAsia" w:ascii="宋体" w:hAnsi="宋体"/>
                <w:b/>
                <w:color w:val="auto"/>
                <w:sz w:val="18"/>
                <w:szCs w:val="18"/>
                <w:highlight w:val="none"/>
              </w:rPr>
            </w:pPr>
            <w:r>
              <w:rPr>
                <w:rFonts w:hint="eastAsia" w:ascii="宋体" w:hAnsi="宋体"/>
                <w:b/>
                <w:color w:val="auto"/>
                <w:sz w:val="15"/>
                <w:szCs w:val="15"/>
                <w:highlight w:val="none"/>
              </w:rPr>
              <w:t>1.41</w:t>
            </w: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205</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02</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普通教育</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1,983.51</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1,965.84</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1,921.96</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43.88</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16.26</w:t>
            </w:r>
          </w:p>
        </w:tc>
        <w:tc>
          <w:tcPr>
            <w:tcW w:w="876" w:type="dxa"/>
            <w:vAlign w:val="center"/>
          </w:tcPr>
          <w:p>
            <w:pPr>
              <w:jc w:val="right"/>
              <w:rPr>
                <w:rFonts w:hint="eastAsia" w:ascii="宋体" w:hAnsi="宋体"/>
                <w:b/>
                <w:color w:val="auto"/>
                <w:sz w:val="18"/>
                <w:szCs w:val="18"/>
                <w:highlight w:val="none"/>
              </w:rPr>
            </w:pPr>
            <w:r>
              <w:rPr>
                <w:rFonts w:hint="eastAsia" w:ascii="宋体" w:hAnsi="宋体"/>
                <w:b/>
                <w:color w:val="auto"/>
                <w:sz w:val="15"/>
                <w:szCs w:val="15"/>
                <w:highlight w:val="none"/>
              </w:rPr>
              <w:t>1.41</w:t>
            </w: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205</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学前教育</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303.93</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303.93</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296.89</w:t>
            </w:r>
          </w:p>
        </w:tc>
        <w:tc>
          <w:tcPr>
            <w:tcW w:w="1082" w:type="dxa"/>
            <w:shd w:val="clear" w:color="auto" w:fill="auto"/>
            <w:vAlign w:val="center"/>
          </w:tcPr>
          <w:p>
            <w:pPr>
              <w:jc w:val="right"/>
              <w:rPr>
                <w:rFonts w:ascii="宋体" w:hAnsi="宋体"/>
                <w:color w:val="auto"/>
                <w:sz w:val="15"/>
                <w:szCs w:val="15"/>
                <w:highlight w:val="none"/>
              </w:rPr>
            </w:pPr>
            <w:r>
              <w:rPr>
                <w:rFonts w:hint="eastAsia" w:ascii="宋体" w:hAnsi="宋体"/>
                <w:color w:val="auto"/>
                <w:sz w:val="15"/>
                <w:szCs w:val="15"/>
                <w:highlight w:val="none"/>
              </w:rPr>
              <w:t>7.04</w:t>
            </w: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205</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小学教育</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1,679.58</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1,661.91</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1,625.07</w:t>
            </w:r>
          </w:p>
        </w:tc>
        <w:tc>
          <w:tcPr>
            <w:tcW w:w="1082" w:type="dxa"/>
            <w:shd w:val="clear" w:color="auto" w:fill="auto"/>
            <w:vAlign w:val="center"/>
          </w:tcPr>
          <w:p>
            <w:pPr>
              <w:jc w:val="right"/>
              <w:rPr>
                <w:rFonts w:ascii="宋体" w:hAnsi="宋体"/>
                <w:color w:val="auto"/>
                <w:sz w:val="15"/>
                <w:szCs w:val="15"/>
                <w:highlight w:val="none"/>
              </w:rPr>
            </w:pPr>
            <w:r>
              <w:rPr>
                <w:rFonts w:hint="eastAsia" w:ascii="宋体" w:hAnsi="宋体"/>
                <w:color w:val="auto"/>
                <w:sz w:val="15"/>
                <w:szCs w:val="15"/>
                <w:highlight w:val="none"/>
              </w:rPr>
              <w:t>36.84</w:t>
            </w: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16.26</w:t>
            </w:r>
          </w:p>
        </w:tc>
        <w:tc>
          <w:tcPr>
            <w:tcW w:w="876" w:type="dxa"/>
            <w:vAlign w:val="center"/>
          </w:tcPr>
          <w:p>
            <w:pPr>
              <w:jc w:val="right"/>
              <w:rPr>
                <w:rFonts w:hint="eastAsia" w:ascii="宋体" w:hAnsi="宋体"/>
                <w:color w:val="auto"/>
                <w:sz w:val="18"/>
                <w:szCs w:val="18"/>
                <w:highlight w:val="none"/>
              </w:rPr>
            </w:pPr>
            <w:r>
              <w:rPr>
                <w:rFonts w:hint="eastAsia" w:ascii="宋体" w:hAnsi="宋体"/>
                <w:color w:val="auto"/>
                <w:sz w:val="15"/>
                <w:szCs w:val="15"/>
                <w:highlight w:val="none"/>
              </w:rPr>
              <w:t>1.41</w:t>
            </w: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208</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社会保障和就业支出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208</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05</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行政事业单位养老支出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350.06</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208</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事业单位离退休</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102.88</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102.88</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102.88</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208</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机关事业单位基本养老保险缴费支出</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247.18</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247.18</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247.18</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210</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卫生健康支出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210</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11</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行政事业单位医疗</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124.39</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11</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事业单位医疗</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124.39</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124.39</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124.39</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221</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住房保障支出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221</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02</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住房改革支出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211.73</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221</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住房公积金</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211.73</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211.73</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211.73</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表3</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部门支出总体情况表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679"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017"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416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306"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0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05"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4169" w:type="dxa"/>
            <w:vMerge w:val="continue"/>
            <w:shd w:val="clear" w:color="auto" w:fill="auto"/>
            <w:vAlign w:val="center"/>
          </w:tcPr>
          <w:p>
            <w:pPr>
              <w:jc w:val="center"/>
              <w:rPr>
                <w:color w:val="auto"/>
                <w:sz w:val="18"/>
                <w:szCs w:val="18"/>
                <w:highlight w:val="none"/>
              </w:rPr>
            </w:pPr>
          </w:p>
        </w:tc>
        <w:tc>
          <w:tcPr>
            <w:tcW w:w="1306" w:type="dxa"/>
            <w:vMerge w:val="continue"/>
            <w:shd w:val="clear" w:color="auto" w:fill="auto"/>
            <w:vAlign w:val="center"/>
          </w:tcPr>
          <w:p>
            <w:pPr>
              <w:jc w:val="center"/>
              <w:rPr>
                <w:color w:val="auto"/>
                <w:sz w:val="18"/>
                <w:szCs w:val="18"/>
                <w:highlight w:val="none"/>
              </w:rPr>
            </w:pPr>
          </w:p>
        </w:tc>
        <w:tc>
          <w:tcPr>
            <w:tcW w:w="1306" w:type="dxa"/>
            <w:gridSpan w:val="2"/>
            <w:vMerge w:val="continue"/>
            <w:shd w:val="clear" w:color="auto" w:fill="auto"/>
            <w:vAlign w:val="center"/>
          </w:tcPr>
          <w:p>
            <w:pPr>
              <w:jc w:val="center"/>
              <w:rPr>
                <w:color w:val="auto"/>
                <w:sz w:val="18"/>
                <w:szCs w:val="18"/>
                <w:highlight w:val="none"/>
              </w:rPr>
            </w:pPr>
          </w:p>
        </w:tc>
        <w:tc>
          <w:tcPr>
            <w:tcW w:w="1405"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169"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06"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0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05"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总计</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2,669.68</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2,525.08</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144.60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205</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教育支出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1,983.51</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1,838.91</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144.60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205</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普通教育</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1,983.51</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1,838.91</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144.60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学前教育</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303.93</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282.35</w:t>
            </w:r>
          </w:p>
        </w:tc>
        <w:tc>
          <w:tcPr>
            <w:tcW w:w="1405"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小学教育</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1,679.58</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1,556.56</w:t>
            </w:r>
          </w:p>
        </w:tc>
        <w:tc>
          <w:tcPr>
            <w:tcW w:w="1405"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社会保障和就业支出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05</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行政事业单位养老支出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事业单位离退休</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102.88</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102.88</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机关事业单位基本养老保险缴费支出</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247.18</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247.18</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卫生健康支出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11</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行政事业单位医疗</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事业单位医疗</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124.39</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124.39</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住房保障支出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住房改革支出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221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住房公积金</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211.73</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211.73</w:t>
            </w:r>
          </w:p>
        </w:tc>
        <w:tc>
          <w:tcPr>
            <w:tcW w:w="1405"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表4</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财政拨款收支预算总体情况表</w:t>
      </w:r>
    </w:p>
    <w:tbl>
      <w:tblPr>
        <w:tblStyle w:val="6"/>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119" w:type="dxa"/>
            <w:gridSpan w:val="2"/>
            <w:tcBorders>
              <w:top w:val="nil"/>
              <w:left w:val="nil"/>
              <w:right w:val="nil"/>
            </w:tcBorders>
          </w:tcPr>
          <w:p>
            <w:pPr>
              <w:jc w:val="right"/>
              <w:rPr>
                <w:color w:val="auto"/>
                <w:sz w:val="18"/>
                <w:szCs w:val="18"/>
                <w:highlight w:val="none"/>
              </w:rPr>
            </w:pPr>
          </w:p>
        </w:tc>
        <w:tc>
          <w:tcPr>
            <w:tcW w:w="2006"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财政拨款收入</w:t>
            </w:r>
          </w:p>
        </w:tc>
        <w:tc>
          <w:tcPr>
            <w:tcW w:w="6728" w:type="dxa"/>
            <w:gridSpan w:val="7"/>
            <w:shd w:val="clear" w:color="auto" w:fill="auto"/>
            <w:vAlign w:val="center"/>
          </w:tcPr>
          <w:p>
            <w:pPr>
              <w:jc w:val="center"/>
              <w:rPr>
                <w:b/>
                <w:color w:val="auto"/>
                <w:sz w:val="18"/>
                <w:szCs w:val="18"/>
                <w:highlight w:val="none"/>
              </w:rPr>
            </w:pPr>
            <w:r>
              <w:rPr>
                <w:rFonts w:hint="eastAsia"/>
                <w:b/>
                <w:color w:val="auto"/>
                <w:sz w:val="18"/>
                <w:szCs w:val="18"/>
                <w:highlight w:val="none"/>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auto"/>
                <w:sz w:val="18"/>
                <w:szCs w:val="18"/>
                <w:highlight w:val="none"/>
              </w:rPr>
            </w:pPr>
            <w:r>
              <w:rPr>
                <w:rFonts w:hint="eastAsia"/>
                <w:b/>
                <w:color w:val="auto"/>
                <w:sz w:val="18"/>
                <w:szCs w:val="18"/>
                <w:highlight w:val="none"/>
              </w:rPr>
              <w:t>项目</w:t>
            </w:r>
          </w:p>
        </w:tc>
        <w:tc>
          <w:tcPr>
            <w:tcW w:w="1117" w:type="dxa"/>
            <w:shd w:val="clear" w:color="auto" w:fill="auto"/>
            <w:vAlign w:val="center"/>
          </w:tcPr>
          <w:p>
            <w:pPr>
              <w:jc w:val="center"/>
              <w:rPr>
                <w:color w:val="auto"/>
                <w:sz w:val="18"/>
                <w:szCs w:val="18"/>
                <w:highlight w:val="none"/>
              </w:rPr>
            </w:pPr>
            <w:r>
              <w:rPr>
                <w:rFonts w:hint="eastAsia"/>
                <w:b/>
                <w:color w:val="auto"/>
                <w:sz w:val="18"/>
                <w:szCs w:val="18"/>
                <w:highlight w:val="none"/>
              </w:rPr>
              <w:t>合计</w:t>
            </w:r>
          </w:p>
        </w:tc>
        <w:tc>
          <w:tcPr>
            <w:tcW w:w="2434" w:type="dxa"/>
            <w:shd w:val="clear" w:color="auto" w:fill="auto"/>
            <w:vAlign w:val="center"/>
          </w:tcPr>
          <w:p>
            <w:pPr>
              <w:jc w:val="center"/>
              <w:rPr>
                <w:color w:val="auto"/>
                <w:sz w:val="18"/>
                <w:szCs w:val="18"/>
                <w:highlight w:val="none"/>
              </w:rPr>
            </w:pPr>
            <w:r>
              <w:rPr>
                <w:rFonts w:hint="eastAsia"/>
                <w:b/>
                <w:color w:val="auto"/>
                <w:sz w:val="18"/>
                <w:szCs w:val="18"/>
                <w:highlight w:val="none"/>
              </w:rPr>
              <w:t>功能分类</w:t>
            </w:r>
          </w:p>
        </w:tc>
        <w:tc>
          <w:tcPr>
            <w:tcW w:w="1117" w:type="dxa"/>
            <w:shd w:val="clear" w:color="auto" w:fill="auto"/>
            <w:vAlign w:val="center"/>
          </w:tcPr>
          <w:p>
            <w:pPr>
              <w:jc w:val="center"/>
              <w:rPr>
                <w:color w:val="auto"/>
                <w:sz w:val="18"/>
                <w:szCs w:val="18"/>
                <w:highlight w:val="none"/>
              </w:rPr>
            </w:pPr>
            <w:r>
              <w:rPr>
                <w:rFonts w:hint="eastAsia"/>
                <w:b/>
                <w:color w:val="auto"/>
                <w:sz w:val="18"/>
                <w:szCs w:val="18"/>
                <w:highlight w:val="none"/>
              </w:rPr>
              <w:t>合计</w:t>
            </w:r>
          </w:p>
        </w:tc>
        <w:tc>
          <w:tcPr>
            <w:tcW w:w="1063" w:type="dxa"/>
            <w:gridSpan w:val="2"/>
            <w:shd w:val="clear" w:color="auto" w:fill="auto"/>
            <w:vAlign w:val="center"/>
          </w:tcPr>
          <w:p>
            <w:pPr>
              <w:jc w:val="center"/>
              <w:rPr>
                <w:color w:val="auto"/>
                <w:sz w:val="18"/>
                <w:szCs w:val="18"/>
                <w:highlight w:val="none"/>
              </w:rPr>
            </w:pPr>
            <w:r>
              <w:rPr>
                <w:rFonts w:hint="eastAsia"/>
                <w:b/>
                <w:color w:val="auto"/>
                <w:sz w:val="18"/>
                <w:szCs w:val="18"/>
                <w:highlight w:val="none"/>
              </w:rPr>
              <w:t>一般公共预算</w:t>
            </w:r>
          </w:p>
        </w:tc>
        <w:tc>
          <w:tcPr>
            <w:tcW w:w="1063" w:type="dxa"/>
            <w:gridSpan w:val="2"/>
            <w:vAlign w:val="center"/>
          </w:tcPr>
          <w:p>
            <w:pPr>
              <w:jc w:val="center"/>
              <w:rPr>
                <w:color w:val="auto"/>
                <w:sz w:val="18"/>
                <w:szCs w:val="18"/>
                <w:highlight w:val="none"/>
              </w:rPr>
            </w:pPr>
            <w:r>
              <w:rPr>
                <w:rFonts w:hint="eastAsia"/>
                <w:b/>
                <w:color w:val="auto"/>
                <w:sz w:val="18"/>
                <w:szCs w:val="18"/>
                <w:highlight w:val="none"/>
              </w:rPr>
              <w:t>政府性基金预算</w:t>
            </w:r>
          </w:p>
        </w:tc>
        <w:tc>
          <w:tcPr>
            <w:tcW w:w="1051" w:type="dxa"/>
            <w:shd w:val="clear" w:color="auto" w:fill="auto"/>
            <w:vAlign w:val="center"/>
          </w:tcPr>
          <w:p>
            <w:pPr>
              <w:jc w:val="center"/>
              <w:rPr>
                <w:color w:val="auto"/>
                <w:sz w:val="18"/>
                <w:szCs w:val="18"/>
                <w:highlight w:val="none"/>
              </w:rPr>
            </w:pPr>
            <w:r>
              <w:rPr>
                <w:rFonts w:hint="eastAsia"/>
                <w:b/>
                <w:color w:val="auto"/>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r>
              <w:rPr>
                <w:rFonts w:hint="eastAsia"/>
                <w:b/>
                <w:color w:val="auto"/>
                <w:sz w:val="18"/>
                <w:szCs w:val="18"/>
                <w:highlight w:val="none"/>
              </w:rPr>
              <w:t>一、财政拨款（补助）</w:t>
            </w:r>
          </w:p>
        </w:tc>
        <w:tc>
          <w:tcPr>
            <w:tcW w:w="1117"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2,652.02</w:t>
            </w: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201 一般公共服务支出</w:t>
            </w:r>
          </w:p>
        </w:tc>
        <w:tc>
          <w:tcPr>
            <w:tcW w:w="1117" w:type="dxa"/>
            <w:shd w:val="clear" w:color="auto" w:fill="auto"/>
          </w:tcPr>
          <w:p>
            <w:pPr>
              <w:jc w:val="right"/>
              <w:rPr>
                <w:rFonts w:ascii="宋体" w:hAnsi="宋体"/>
                <w:color w:val="auto"/>
                <w:sz w:val="18"/>
                <w:szCs w:val="18"/>
                <w:highlight w:val="none"/>
              </w:rPr>
            </w:pPr>
          </w:p>
        </w:tc>
        <w:tc>
          <w:tcPr>
            <w:tcW w:w="1063" w:type="dxa"/>
            <w:gridSpan w:val="2"/>
            <w:shd w:val="clear" w:color="auto" w:fill="auto"/>
          </w:tcPr>
          <w:p>
            <w:pPr>
              <w:jc w:val="right"/>
              <w:rPr>
                <w:rFonts w:ascii="宋体" w:hAnsi="宋体"/>
                <w:color w:val="auto"/>
                <w:sz w:val="18"/>
                <w:szCs w:val="18"/>
                <w:highlight w:val="none"/>
              </w:rPr>
            </w:pPr>
          </w:p>
        </w:tc>
        <w:tc>
          <w:tcPr>
            <w:tcW w:w="1063" w:type="dxa"/>
            <w:gridSpan w:val="2"/>
          </w:tcPr>
          <w:p>
            <w:pPr>
              <w:jc w:val="right"/>
              <w:rPr>
                <w:rFonts w:ascii="宋体" w:hAnsi="宋体"/>
                <w:color w:val="auto"/>
                <w:sz w:val="18"/>
                <w:szCs w:val="18"/>
                <w:highlight w:val="none"/>
              </w:rPr>
            </w:pPr>
          </w:p>
        </w:tc>
        <w:tc>
          <w:tcPr>
            <w:tcW w:w="1051"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一般公共预算</w:t>
            </w:r>
          </w:p>
        </w:tc>
        <w:tc>
          <w:tcPr>
            <w:tcW w:w="1117"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2,652.02</w:t>
            </w: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202 外交支出</w:t>
            </w:r>
          </w:p>
        </w:tc>
        <w:tc>
          <w:tcPr>
            <w:tcW w:w="1117" w:type="dxa"/>
            <w:shd w:val="clear" w:color="auto" w:fill="auto"/>
          </w:tcPr>
          <w:p>
            <w:pPr>
              <w:jc w:val="right"/>
              <w:rPr>
                <w:rFonts w:ascii="宋体" w:hAnsi="宋体"/>
                <w:color w:val="auto"/>
                <w:sz w:val="18"/>
                <w:szCs w:val="18"/>
                <w:highlight w:val="none"/>
              </w:rPr>
            </w:pPr>
          </w:p>
        </w:tc>
        <w:tc>
          <w:tcPr>
            <w:tcW w:w="1063" w:type="dxa"/>
            <w:gridSpan w:val="2"/>
            <w:shd w:val="clear" w:color="auto" w:fill="auto"/>
          </w:tcPr>
          <w:p>
            <w:pPr>
              <w:jc w:val="right"/>
              <w:rPr>
                <w:rFonts w:ascii="宋体" w:hAnsi="宋体"/>
                <w:color w:val="auto"/>
                <w:sz w:val="18"/>
                <w:szCs w:val="18"/>
                <w:highlight w:val="none"/>
              </w:rPr>
            </w:pPr>
          </w:p>
        </w:tc>
        <w:tc>
          <w:tcPr>
            <w:tcW w:w="1063" w:type="dxa"/>
            <w:gridSpan w:val="2"/>
          </w:tcPr>
          <w:p>
            <w:pPr>
              <w:jc w:val="right"/>
              <w:rPr>
                <w:rFonts w:ascii="宋体" w:hAnsi="宋体"/>
                <w:color w:val="auto"/>
                <w:sz w:val="18"/>
                <w:szCs w:val="18"/>
                <w:highlight w:val="none"/>
              </w:rPr>
            </w:pPr>
          </w:p>
        </w:tc>
        <w:tc>
          <w:tcPr>
            <w:tcW w:w="1051"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政府性基金预算</w:t>
            </w:r>
          </w:p>
        </w:tc>
        <w:tc>
          <w:tcPr>
            <w:tcW w:w="1117" w:type="dxa"/>
            <w:shd w:val="clear" w:color="auto" w:fill="auto"/>
          </w:tcPr>
          <w:p>
            <w:pPr>
              <w:jc w:val="right"/>
              <w:rPr>
                <w:rFonts w:ascii="宋体" w:hAnsi="宋体"/>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203 国防支出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国有资本经营预算</w:t>
            </w:r>
          </w:p>
        </w:tc>
        <w:tc>
          <w:tcPr>
            <w:tcW w:w="1117" w:type="dxa"/>
            <w:shd w:val="clear" w:color="auto" w:fill="auto"/>
          </w:tcPr>
          <w:p>
            <w:pPr>
              <w:jc w:val="right"/>
              <w:rPr>
                <w:rFonts w:ascii="宋体" w:hAnsi="宋体"/>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204 公共安全支出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205 教育支出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1,965.84</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1,965.84</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206 科学技术支出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207 文化旅游体育与传媒支出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208 社会保障和就业支出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350.06</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350.06</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209 社会保险基金支出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210 卫生健康支出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124.39</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124.39</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211 节能环保支出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212 城乡社区支出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213 农林水支出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214 交通运输支出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215 资源勘探工业信息等支出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216 商业服务业等支出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217 金融支出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219 援助其他地区支出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220 自然资源海洋气象等支出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221 住房保障支出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211.73</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211.73</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222 粮油物资储备支出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223 国有资本经营预算支出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224 灾害防治及应急管理支出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227 预备费</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229 其他支出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230 转移性支出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231 债务还本支出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232 债务付息支出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233 债务发行费用支出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tcPr>
          <w:p>
            <w:pPr>
              <w:rPr>
                <w:rFonts w:ascii="宋体" w:hAnsi="宋体" w:cs="宋体"/>
                <w:color w:val="auto"/>
                <w:sz w:val="18"/>
                <w:szCs w:val="18"/>
                <w:highlight w:val="none"/>
              </w:rPr>
            </w:pP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auto"/>
                <w:sz w:val="18"/>
                <w:szCs w:val="18"/>
                <w:highlight w:val="none"/>
              </w:rPr>
            </w:pPr>
            <w:r>
              <w:rPr>
                <w:rFonts w:hint="eastAsia"/>
                <w:b/>
                <w:color w:val="auto"/>
                <w:sz w:val="18"/>
                <w:szCs w:val="18"/>
                <w:highlight w:val="none"/>
              </w:rPr>
              <w:t>收入总计</w:t>
            </w:r>
          </w:p>
        </w:tc>
        <w:tc>
          <w:tcPr>
            <w:tcW w:w="1117" w:type="dxa"/>
            <w:shd w:val="clear" w:color="auto" w:fill="auto"/>
          </w:tcPr>
          <w:p>
            <w:pPr>
              <w:jc w:val="right"/>
              <w:rPr>
                <w:color w:val="auto"/>
                <w:sz w:val="18"/>
                <w:szCs w:val="18"/>
                <w:highlight w:val="none"/>
              </w:rPr>
            </w:pPr>
            <w:r>
              <w:rPr>
                <w:rFonts w:hint="eastAsia" w:ascii="宋体" w:hAnsi="宋体"/>
                <w:b/>
                <w:color w:val="auto"/>
                <w:sz w:val="18"/>
                <w:szCs w:val="18"/>
                <w:highlight w:val="none"/>
              </w:rPr>
              <w:t>2,652.02</w:t>
            </w:r>
          </w:p>
        </w:tc>
        <w:tc>
          <w:tcPr>
            <w:tcW w:w="2434" w:type="dxa"/>
            <w:shd w:val="clear" w:color="auto" w:fill="auto"/>
          </w:tcPr>
          <w:p>
            <w:pPr>
              <w:jc w:val="center"/>
              <w:rPr>
                <w:rFonts w:ascii="宋体" w:hAnsi="宋体" w:cs="宋体"/>
                <w:color w:val="auto"/>
                <w:sz w:val="18"/>
                <w:szCs w:val="18"/>
                <w:highlight w:val="none"/>
              </w:rPr>
            </w:pPr>
            <w:r>
              <w:rPr>
                <w:rFonts w:hint="eastAsia"/>
                <w:b/>
                <w:color w:val="auto"/>
                <w:sz w:val="18"/>
                <w:szCs w:val="18"/>
                <w:highlight w:val="none"/>
              </w:rPr>
              <w:t>支出总计</w:t>
            </w:r>
          </w:p>
        </w:tc>
        <w:tc>
          <w:tcPr>
            <w:tcW w:w="1117" w:type="dxa"/>
            <w:shd w:val="clear" w:color="auto" w:fill="auto"/>
          </w:tcPr>
          <w:p>
            <w:pPr>
              <w:jc w:val="right"/>
              <w:rPr>
                <w:color w:val="auto"/>
                <w:sz w:val="18"/>
                <w:szCs w:val="18"/>
                <w:highlight w:val="none"/>
              </w:rPr>
            </w:pPr>
            <w:r>
              <w:rPr>
                <w:rFonts w:hint="eastAsia" w:ascii="宋体" w:hAnsi="宋体"/>
                <w:b/>
                <w:color w:val="auto"/>
                <w:sz w:val="18"/>
                <w:szCs w:val="18"/>
                <w:highlight w:val="none"/>
              </w:rPr>
              <w:t>2,652.02</w:t>
            </w:r>
          </w:p>
        </w:tc>
        <w:tc>
          <w:tcPr>
            <w:tcW w:w="1063" w:type="dxa"/>
            <w:gridSpan w:val="2"/>
            <w:shd w:val="clear" w:color="auto" w:fill="auto"/>
          </w:tcPr>
          <w:p>
            <w:pPr>
              <w:jc w:val="right"/>
              <w:rPr>
                <w:color w:val="auto"/>
                <w:sz w:val="18"/>
                <w:szCs w:val="18"/>
                <w:highlight w:val="none"/>
              </w:rPr>
            </w:pPr>
            <w:r>
              <w:rPr>
                <w:rFonts w:hint="eastAsia" w:ascii="宋体" w:hAnsi="宋体"/>
                <w:b/>
                <w:color w:val="auto"/>
                <w:sz w:val="18"/>
                <w:szCs w:val="18"/>
                <w:highlight w:val="none"/>
              </w:rPr>
              <w:t>2,652.02</w:t>
            </w:r>
          </w:p>
        </w:tc>
        <w:tc>
          <w:tcPr>
            <w:tcW w:w="1063" w:type="dxa"/>
            <w:gridSpan w:val="2"/>
          </w:tcPr>
          <w:p>
            <w:pPr>
              <w:jc w:val="right"/>
              <w:rPr>
                <w:color w:val="auto"/>
                <w:sz w:val="18"/>
                <w:szCs w:val="18"/>
                <w:highlight w:val="none"/>
              </w:rPr>
            </w:pPr>
          </w:p>
        </w:tc>
        <w:tc>
          <w:tcPr>
            <w:tcW w:w="1051" w:type="dxa"/>
            <w:shd w:val="clear" w:color="auto" w:fill="auto"/>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表5</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70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160"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4026"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36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6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2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4026" w:type="dxa"/>
            <w:vMerge w:val="continue"/>
            <w:shd w:val="clear" w:color="auto" w:fill="auto"/>
            <w:vAlign w:val="center"/>
          </w:tcPr>
          <w:p>
            <w:pPr>
              <w:jc w:val="center"/>
              <w:rPr>
                <w:color w:val="auto"/>
                <w:sz w:val="18"/>
                <w:szCs w:val="18"/>
                <w:highlight w:val="none"/>
              </w:rPr>
            </w:pPr>
          </w:p>
        </w:tc>
        <w:tc>
          <w:tcPr>
            <w:tcW w:w="1367" w:type="dxa"/>
            <w:vMerge w:val="continue"/>
            <w:shd w:val="clear" w:color="auto" w:fill="auto"/>
            <w:vAlign w:val="center"/>
          </w:tcPr>
          <w:p>
            <w:pPr>
              <w:jc w:val="center"/>
              <w:rPr>
                <w:color w:val="auto"/>
                <w:sz w:val="18"/>
                <w:szCs w:val="18"/>
                <w:highlight w:val="none"/>
              </w:rPr>
            </w:pPr>
          </w:p>
        </w:tc>
        <w:tc>
          <w:tcPr>
            <w:tcW w:w="1366" w:type="dxa"/>
            <w:gridSpan w:val="2"/>
            <w:vMerge w:val="continue"/>
            <w:shd w:val="clear" w:color="auto" w:fill="auto"/>
            <w:vAlign w:val="center"/>
          </w:tcPr>
          <w:p>
            <w:pPr>
              <w:jc w:val="center"/>
              <w:rPr>
                <w:color w:val="auto"/>
                <w:sz w:val="18"/>
                <w:szCs w:val="18"/>
                <w:highlight w:val="none"/>
              </w:rPr>
            </w:pPr>
          </w:p>
        </w:tc>
        <w:tc>
          <w:tcPr>
            <w:tcW w:w="142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026"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6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6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27"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总计</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2,652.02</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2,525.08</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205</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教育支出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1,965.84</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1,838.91</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205</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普通教育</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1,965.84</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1,838.91</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学前教育</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303.93</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282.35</w:t>
            </w:r>
          </w:p>
        </w:tc>
        <w:tc>
          <w:tcPr>
            <w:tcW w:w="142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小学教育</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1,661.91</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1,556.56</w:t>
            </w:r>
          </w:p>
        </w:tc>
        <w:tc>
          <w:tcPr>
            <w:tcW w:w="142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社会保障和就业支出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05</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行政事业单位养老支出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350.06</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事业单位离退休</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102.88</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102.88</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机关事业单位基本养老保险缴费支出</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247.18</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247.18</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卫生健康支出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11</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行政事业单位医疗</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124.39</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事业单位医疗</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124.39</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124.39</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住房保障支出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住房改革支出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211.73</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221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住房公积金</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211.73</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211.73</w:t>
            </w:r>
          </w:p>
        </w:tc>
        <w:tc>
          <w:tcPr>
            <w:tcW w:w="142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表6</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一般公共预算基本支出情况表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70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160"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经济分类科目编码</w:t>
            </w:r>
          </w:p>
        </w:tc>
        <w:tc>
          <w:tcPr>
            <w:tcW w:w="459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经济分类科目名称</w:t>
            </w:r>
          </w:p>
        </w:tc>
        <w:tc>
          <w:tcPr>
            <w:tcW w:w="136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6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2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4593" w:type="dxa"/>
            <w:vMerge w:val="continue"/>
            <w:shd w:val="clear" w:color="auto" w:fill="auto"/>
            <w:vAlign w:val="center"/>
          </w:tcPr>
          <w:p>
            <w:pPr>
              <w:jc w:val="center"/>
              <w:rPr>
                <w:color w:val="auto"/>
                <w:sz w:val="18"/>
                <w:szCs w:val="18"/>
                <w:highlight w:val="none"/>
              </w:rPr>
            </w:pPr>
          </w:p>
        </w:tc>
        <w:tc>
          <w:tcPr>
            <w:tcW w:w="1367" w:type="dxa"/>
            <w:vMerge w:val="continue"/>
            <w:shd w:val="clear" w:color="auto" w:fill="auto"/>
            <w:vAlign w:val="center"/>
          </w:tcPr>
          <w:p>
            <w:pPr>
              <w:jc w:val="center"/>
              <w:rPr>
                <w:color w:val="auto"/>
                <w:sz w:val="18"/>
                <w:szCs w:val="18"/>
                <w:highlight w:val="none"/>
              </w:rPr>
            </w:pPr>
          </w:p>
        </w:tc>
        <w:tc>
          <w:tcPr>
            <w:tcW w:w="1366" w:type="dxa"/>
            <w:gridSpan w:val="2"/>
            <w:vMerge w:val="continue"/>
            <w:shd w:val="clear" w:color="auto" w:fill="auto"/>
            <w:vAlign w:val="center"/>
          </w:tcPr>
          <w:p>
            <w:pPr>
              <w:jc w:val="center"/>
              <w:rPr>
                <w:color w:val="auto"/>
                <w:sz w:val="18"/>
                <w:szCs w:val="18"/>
                <w:highlight w:val="none"/>
              </w:rPr>
            </w:pPr>
          </w:p>
        </w:tc>
        <w:tc>
          <w:tcPr>
            <w:tcW w:w="142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59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6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6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27"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总计</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2,525.08</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2,479.31</w:t>
            </w:r>
          </w:p>
        </w:tc>
        <w:tc>
          <w:tcPr>
            <w:tcW w:w="142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301</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工资福利支出</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2,387.93</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2,387.93</w:t>
            </w:r>
          </w:p>
        </w:tc>
        <w:tc>
          <w:tcPr>
            <w:tcW w:w="1427" w:type="dxa"/>
            <w:shd w:val="clear" w:color="auto" w:fill="auto"/>
            <w:vAlign w:val="center"/>
          </w:tcPr>
          <w:p>
            <w:pPr>
              <w:jc w:val="right"/>
              <w:rPr>
                <w:rFonts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基本工资</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699.60</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699.60</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津贴补贴</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313.52</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313.52</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03</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奖金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452.23</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452.23</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07</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绩效工资</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303.88</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303.88</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08</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机关事业单位基本养老保险缴费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247.18</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247.18</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10</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职工基本医疗保险缴费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124.39</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124.39</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其他社会保障缴费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19.27</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19.27</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13</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住房公积金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211.73</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211.73</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99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其他工资福利支出</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16.15</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16.15</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302</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商品和服务支出</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45.78</w:t>
            </w:r>
          </w:p>
        </w:tc>
        <w:tc>
          <w:tcPr>
            <w:tcW w:w="1366" w:type="dxa"/>
            <w:gridSpan w:val="2"/>
            <w:shd w:val="clear" w:color="auto" w:fill="auto"/>
            <w:vAlign w:val="center"/>
          </w:tcPr>
          <w:p>
            <w:pPr>
              <w:jc w:val="right"/>
              <w:rPr>
                <w:rFonts w:ascii="宋体" w:hAnsi="宋体"/>
                <w:b/>
                <w:color w:val="auto"/>
                <w:sz w:val="18"/>
                <w:szCs w:val="18"/>
                <w:highlight w:val="none"/>
              </w:rPr>
            </w:pPr>
          </w:p>
        </w:tc>
        <w:tc>
          <w:tcPr>
            <w:tcW w:w="142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28</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工会经费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17.27</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福利费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28.51</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303</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对个人和家庭的补助</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91.38</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91.38</w:t>
            </w:r>
          </w:p>
        </w:tc>
        <w:tc>
          <w:tcPr>
            <w:tcW w:w="1427" w:type="dxa"/>
            <w:shd w:val="clear" w:color="auto" w:fill="auto"/>
            <w:vAlign w:val="center"/>
          </w:tcPr>
          <w:p>
            <w:pPr>
              <w:jc w:val="right"/>
              <w:rPr>
                <w:rFonts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303</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退休费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89.91</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89.91</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303</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05</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生活补助</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1.32</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1.32</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303</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奖励金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0.14</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0.14</w:t>
            </w:r>
          </w:p>
        </w:tc>
        <w:tc>
          <w:tcPr>
            <w:tcW w:w="1427" w:type="dxa"/>
            <w:shd w:val="clear" w:color="auto" w:fill="auto"/>
            <w:vAlign w:val="center"/>
          </w:tcPr>
          <w:p>
            <w:pPr>
              <w:jc w:val="right"/>
              <w:rPr>
                <w:rFonts w:ascii="宋体" w:hAnsi="宋体"/>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表7</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一般公共预算项目支出情况表</w:t>
      </w:r>
    </w:p>
    <w:tbl>
      <w:tblPr>
        <w:tblStyle w:val="6"/>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863"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科目编码</w:t>
            </w:r>
          </w:p>
        </w:tc>
        <w:tc>
          <w:tcPr>
            <w:tcW w:w="207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207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项目名称</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项目支出合计</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工资福利支出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商品和服务支出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对个人和家庭的补助</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债务利息及费用支出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资本性支出（基本建设）</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资本性支出</w:t>
            </w:r>
          </w:p>
        </w:tc>
        <w:tc>
          <w:tcPr>
            <w:tcW w:w="88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对企业补助（基本建设）</w:t>
            </w:r>
          </w:p>
        </w:tc>
        <w:tc>
          <w:tcPr>
            <w:tcW w:w="78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对企业补助</w:t>
            </w:r>
          </w:p>
        </w:tc>
        <w:tc>
          <w:tcPr>
            <w:tcW w:w="9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对社会保障基金补助</w:t>
            </w:r>
          </w:p>
        </w:tc>
        <w:tc>
          <w:tcPr>
            <w:tcW w:w="88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260"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331"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073" w:type="dxa"/>
            <w:vMerge w:val="continue"/>
            <w:shd w:val="clear" w:color="auto" w:fill="auto"/>
            <w:vAlign w:val="center"/>
          </w:tcPr>
          <w:p>
            <w:pPr>
              <w:jc w:val="center"/>
              <w:rPr>
                <w:color w:val="auto"/>
                <w:sz w:val="18"/>
                <w:szCs w:val="18"/>
                <w:highlight w:val="none"/>
              </w:rPr>
            </w:pPr>
          </w:p>
        </w:tc>
        <w:tc>
          <w:tcPr>
            <w:tcW w:w="2073"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2" w:type="dxa"/>
            <w:vMerge w:val="continue"/>
            <w:shd w:val="clear" w:color="auto" w:fill="auto"/>
          </w:tcPr>
          <w:p>
            <w:pPr>
              <w:jc w:val="center"/>
              <w:rPr>
                <w:color w:val="auto"/>
                <w:sz w:val="18"/>
                <w:szCs w:val="18"/>
                <w:highlight w:val="none"/>
              </w:rPr>
            </w:pPr>
          </w:p>
        </w:tc>
        <w:tc>
          <w:tcPr>
            <w:tcW w:w="783" w:type="dxa"/>
            <w:vMerge w:val="continue"/>
            <w:shd w:val="clear" w:color="auto" w:fill="auto"/>
            <w:vAlign w:val="center"/>
          </w:tcPr>
          <w:p>
            <w:pPr>
              <w:jc w:val="center"/>
              <w:rPr>
                <w:color w:val="auto"/>
                <w:sz w:val="18"/>
                <w:szCs w:val="18"/>
                <w:highlight w:val="none"/>
              </w:rPr>
            </w:pPr>
          </w:p>
        </w:tc>
        <w:tc>
          <w:tcPr>
            <w:tcW w:w="981" w:type="dxa"/>
            <w:vMerge w:val="continue"/>
            <w:shd w:val="clear" w:color="auto" w:fill="auto"/>
          </w:tcPr>
          <w:p>
            <w:pPr>
              <w:jc w:val="center"/>
              <w:rPr>
                <w:color w:val="auto"/>
                <w:sz w:val="18"/>
                <w:szCs w:val="18"/>
                <w:highlight w:val="none"/>
              </w:rPr>
            </w:pPr>
          </w:p>
        </w:tc>
        <w:tc>
          <w:tcPr>
            <w:tcW w:w="882" w:type="dxa"/>
            <w:vMerge w:val="continue"/>
            <w:shd w:val="clear" w:color="auto" w:fill="auto"/>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60"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33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07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07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5</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6</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7</w:t>
            </w:r>
          </w:p>
        </w:tc>
        <w:tc>
          <w:tcPr>
            <w:tcW w:w="882" w:type="dxa"/>
            <w:shd w:val="clear" w:color="auto" w:fill="auto"/>
            <w:vAlign w:val="center"/>
          </w:tcPr>
          <w:p>
            <w:pPr>
              <w:jc w:val="center"/>
              <w:rPr>
                <w:color w:val="auto"/>
                <w:sz w:val="18"/>
                <w:szCs w:val="18"/>
                <w:highlight w:val="none"/>
              </w:rPr>
            </w:pPr>
            <w:r>
              <w:rPr>
                <w:rFonts w:hint="eastAsia"/>
                <w:color w:val="auto"/>
                <w:sz w:val="18"/>
                <w:szCs w:val="18"/>
                <w:highlight w:val="none"/>
              </w:rPr>
              <w:t>8</w:t>
            </w:r>
          </w:p>
        </w:tc>
        <w:tc>
          <w:tcPr>
            <w:tcW w:w="783" w:type="dxa"/>
            <w:shd w:val="clear" w:color="auto" w:fill="auto"/>
            <w:vAlign w:val="center"/>
          </w:tcPr>
          <w:p>
            <w:pPr>
              <w:jc w:val="center"/>
              <w:rPr>
                <w:color w:val="auto"/>
                <w:sz w:val="18"/>
                <w:szCs w:val="18"/>
                <w:highlight w:val="none"/>
              </w:rPr>
            </w:pPr>
            <w:r>
              <w:rPr>
                <w:rFonts w:hint="eastAsia"/>
                <w:color w:val="auto"/>
                <w:sz w:val="18"/>
                <w:szCs w:val="18"/>
                <w:highlight w:val="none"/>
              </w:rPr>
              <w:t>9</w:t>
            </w:r>
          </w:p>
        </w:tc>
        <w:tc>
          <w:tcPr>
            <w:tcW w:w="981" w:type="dxa"/>
            <w:shd w:val="clear" w:color="auto" w:fill="auto"/>
            <w:vAlign w:val="center"/>
          </w:tcPr>
          <w:p>
            <w:pPr>
              <w:jc w:val="center"/>
              <w:rPr>
                <w:color w:val="auto"/>
                <w:sz w:val="18"/>
                <w:szCs w:val="18"/>
                <w:highlight w:val="none"/>
              </w:rPr>
            </w:pPr>
            <w:r>
              <w:rPr>
                <w:rFonts w:hint="eastAsia"/>
                <w:color w:val="auto"/>
                <w:sz w:val="18"/>
                <w:szCs w:val="18"/>
                <w:highlight w:val="none"/>
              </w:rPr>
              <w:t>10</w:t>
            </w:r>
          </w:p>
        </w:tc>
        <w:tc>
          <w:tcPr>
            <w:tcW w:w="882" w:type="dxa"/>
            <w:shd w:val="clear" w:color="auto" w:fill="auto"/>
            <w:vAlign w:val="center"/>
          </w:tcPr>
          <w:p>
            <w:pPr>
              <w:jc w:val="center"/>
              <w:rPr>
                <w:color w:val="auto"/>
                <w:sz w:val="18"/>
                <w:szCs w:val="18"/>
                <w:highlight w:val="none"/>
              </w:rPr>
            </w:pPr>
            <w:r>
              <w:rPr>
                <w:rFonts w:hint="eastAsia"/>
                <w:color w:val="auto"/>
                <w:sz w:val="18"/>
                <w:szCs w:val="18"/>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总计</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126.93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1.10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109.43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85"/>
                <w:highlight w:val="none"/>
              </w:rPr>
              <w:t>16.41</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额敏县上户镇寄宿制学校</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126.93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1.10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109.43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85"/>
                <w:highlight w:val="none"/>
              </w:rPr>
              <w:t>16.41</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205</w:t>
            </w: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 xml:space="preserve">  教育支出</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126.93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1.10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109.43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85"/>
                <w:highlight w:val="none"/>
              </w:rPr>
              <w:t>16.41</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205</w:t>
            </w:r>
          </w:p>
        </w:tc>
        <w:tc>
          <w:tcPr>
            <w:tcW w:w="26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02</w:t>
            </w: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 xml:space="preserve">    普通教育</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126.93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1.10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109.43</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85"/>
                <w:highlight w:val="none"/>
              </w:rPr>
              <w:t>16.41</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01</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学前教育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年学前教育幼儿资助-县级配套资金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5.08</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5.08</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01</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学前教育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年学前教育取暖费县级配套资金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3.66</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3.66</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01</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学前教育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年学前教育幼儿资助-幼儿伙食补助县级配套资金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5.79</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5.79</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01</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学前教育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〕78号提前下达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年新疆西藏等地区教育特殊补助资金-农村学前三年免费教育幼儿伙食补助</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3.10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3.10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01</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学前教育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〕78号提前下达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年新疆西藏等地区教育特殊补助资金-农村学前三年免费教育保障机制经费</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3.94</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3.94</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年城乡义务教育生均公用经费-小学县级配套资金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3.92</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3.92</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年义务教育阶段特殊教育学校和随班就读残疾学生生均公用经费县级配套资金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0.25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0.25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年家庭经济困难学生生活补助-小学寄宿生县级配套资金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0.86</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0.86</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年家庭经济困难学生生活补助-小学非寄宿生县级配套资金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0.70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0.70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年城乡义务教育-小学取暖费-县级配套资金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54.98</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54.98</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年城乡义务教育转移支付县级配套资金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7.80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7.80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〕74号提前下达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年中央城乡义务教育补助经费预算-特教</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1.55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1.55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〕74号提前下达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年中央城乡义务教育补助经费预算-小学公用经费</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24.07</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24.07</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〕74号提前下达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年中央城乡义务教育补助经费预算-小学寄宿生家庭经济困难学生生活补助</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0.51</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0.51</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〕74号提前下达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年中央城乡义务教育补助经费预算-小学非寄宿生家庭经济困难学生生活补助</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3.50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3.50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〕80号提前下达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年自治区城乡义务教育补助经费预算-小学非寄宿生家庭经济困难学生补助</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1.94</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85"/>
                <w:highlight w:val="none"/>
              </w:rPr>
              <w:t>1.94</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〕80号提前下达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年自治区城乡义务教育补助经费预算-特教</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0.25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0.25</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〕80号提前下达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年自治区城乡义务教育补助经费预算-小学公用经费</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3.92</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3.92</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205</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小学教育</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塔地财教〔</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〕85号提前下达</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年自治区教育补助经费预算-自治区义务教育班主任津贴</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1.10</w:t>
            </w: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1.10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表8</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政府性基金预算支出情况表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91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5670"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255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418"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2835"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1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551" w:type="dxa"/>
            <w:vMerge w:val="continue"/>
            <w:shd w:val="clear" w:color="auto" w:fill="auto"/>
            <w:vAlign w:val="center"/>
          </w:tcPr>
          <w:p>
            <w:pPr>
              <w:jc w:val="center"/>
              <w:rPr>
                <w:color w:val="auto"/>
                <w:sz w:val="18"/>
                <w:szCs w:val="18"/>
                <w:highlight w:val="none"/>
              </w:rPr>
            </w:pPr>
          </w:p>
        </w:tc>
        <w:tc>
          <w:tcPr>
            <w:tcW w:w="1418" w:type="dxa"/>
            <w:vMerge w:val="continue"/>
            <w:shd w:val="clear" w:color="auto" w:fill="auto"/>
            <w:vAlign w:val="center"/>
          </w:tcPr>
          <w:p>
            <w:pPr>
              <w:jc w:val="center"/>
              <w:rPr>
                <w:color w:val="auto"/>
                <w:sz w:val="18"/>
                <w:szCs w:val="18"/>
                <w:highlight w:val="none"/>
              </w:rPr>
            </w:pP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c>
          <w:tcPr>
            <w:tcW w:w="141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55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418"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pPr>
      <w:r>
        <w:rPr>
          <w:rFonts w:hint="eastAsia" w:ascii="仿宋" w:eastAsia="仿宋"/>
          <w:b/>
          <w:color w:val="auto"/>
          <w:szCs w:val="21"/>
          <w:highlight w:val="none"/>
        </w:rPr>
        <w:t>额敏县上户镇寄宿制学校</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年没有使用政府性基金预算拨款安排的支出，政府性基金预算支出情况表为空表。</w:t>
      </w:r>
    </w:p>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表9</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国有资本经营预算支出情况表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编制部门：额敏县上户镇寄宿制学校</w:t>
            </w:r>
          </w:p>
        </w:tc>
        <w:tc>
          <w:tcPr>
            <w:tcW w:w="191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5670"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255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418"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2835"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1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551" w:type="dxa"/>
            <w:vMerge w:val="continue"/>
            <w:shd w:val="clear" w:color="auto" w:fill="auto"/>
            <w:vAlign w:val="center"/>
          </w:tcPr>
          <w:p>
            <w:pPr>
              <w:jc w:val="center"/>
              <w:rPr>
                <w:color w:val="auto"/>
                <w:sz w:val="18"/>
                <w:szCs w:val="18"/>
                <w:highlight w:val="none"/>
              </w:rPr>
            </w:pPr>
          </w:p>
        </w:tc>
        <w:tc>
          <w:tcPr>
            <w:tcW w:w="1418" w:type="dxa"/>
            <w:vMerge w:val="continue"/>
            <w:shd w:val="clear" w:color="auto" w:fill="auto"/>
            <w:vAlign w:val="center"/>
          </w:tcPr>
          <w:p>
            <w:pPr>
              <w:jc w:val="center"/>
              <w:rPr>
                <w:color w:val="auto"/>
                <w:sz w:val="18"/>
                <w:szCs w:val="18"/>
                <w:highlight w:val="none"/>
              </w:rPr>
            </w:pP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c>
          <w:tcPr>
            <w:tcW w:w="141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55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418"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pPr>
      <w:r>
        <w:rPr>
          <w:rFonts w:hint="eastAsia" w:ascii="仿宋" w:eastAsia="仿宋"/>
          <w:b/>
          <w:color w:val="auto"/>
          <w:szCs w:val="21"/>
          <w:highlight w:val="none"/>
        </w:rPr>
        <w:t>额敏县上户镇寄宿制学校</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年没有使用国有资本经营预算拨款安排的支出，国有资本经营预算支出情况表为空表。</w:t>
      </w:r>
    </w:p>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表10</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财政拨款“三公”经费支出情况表</w:t>
      </w:r>
    </w:p>
    <w:tbl>
      <w:tblPr>
        <w:tblStyle w:val="6"/>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ascii="宋体" w:hAnsi="宋体"/>
                <w:color w:val="auto"/>
                <w:sz w:val="18"/>
                <w:szCs w:val="18"/>
                <w:highlight w:val="none"/>
              </w:rPr>
            </w:pPr>
            <w:r>
              <w:rPr>
                <w:rFonts w:hint="eastAsia"/>
                <w:color w:val="auto"/>
                <w:sz w:val="18"/>
                <w:szCs w:val="18"/>
                <w:highlight w:val="none"/>
              </w:rPr>
              <w:t>编制部门：额敏县上户镇寄宿制学校</w:t>
            </w:r>
          </w:p>
        </w:tc>
        <w:tc>
          <w:tcPr>
            <w:tcW w:w="1600" w:type="dxa"/>
            <w:tcBorders>
              <w:top w:val="nil"/>
              <w:left w:val="nil"/>
              <w:right w:val="nil"/>
            </w:tcBorders>
            <w:shd w:val="clear" w:color="auto" w:fill="auto"/>
            <w:vAlign w:val="center"/>
          </w:tcPr>
          <w:p>
            <w:pPr>
              <w:jc w:val="right"/>
              <w:rPr>
                <w:rFonts w:ascii="宋体" w:hAnsi="宋体"/>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“三公”经费支出内容</w:t>
            </w:r>
          </w:p>
        </w:tc>
        <w:tc>
          <w:tcPr>
            <w:tcW w:w="1600" w:type="dxa"/>
            <w:vMerge w:val="restart"/>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合计</w:t>
            </w:r>
          </w:p>
        </w:tc>
        <w:tc>
          <w:tcPr>
            <w:tcW w:w="4800" w:type="dxa"/>
            <w:gridSpan w:val="3"/>
            <w:shd w:val="clear" w:color="auto" w:fill="auto"/>
            <w:vAlign w:val="center"/>
          </w:tcPr>
          <w:p>
            <w:pPr>
              <w:jc w:val="center"/>
              <w:rPr>
                <w:rFonts w:ascii="宋体" w:hAnsi="宋体"/>
                <w:color w:val="auto"/>
                <w:sz w:val="18"/>
                <w:szCs w:val="18"/>
                <w:highlight w:val="none"/>
              </w:rPr>
            </w:pPr>
            <w:r>
              <w:rPr>
                <w:rFonts w:hint="eastAsia"/>
                <w:color w:val="auto"/>
                <w:sz w:val="18"/>
                <w:szCs w:val="18"/>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ascii="宋体" w:hAnsi="宋体"/>
                <w:color w:val="auto"/>
                <w:sz w:val="18"/>
                <w:szCs w:val="18"/>
                <w:highlight w:val="none"/>
              </w:rPr>
            </w:pPr>
          </w:p>
        </w:tc>
        <w:tc>
          <w:tcPr>
            <w:tcW w:w="1600" w:type="dxa"/>
            <w:vMerge w:val="continue"/>
            <w:shd w:val="clear" w:color="auto" w:fill="auto"/>
            <w:vAlign w:val="center"/>
          </w:tcPr>
          <w:p>
            <w:pPr>
              <w:jc w:val="center"/>
              <w:rPr>
                <w:rFonts w:ascii="宋体" w:hAnsi="宋体"/>
                <w:color w:val="auto"/>
                <w:sz w:val="18"/>
                <w:szCs w:val="18"/>
                <w:highlight w:val="none"/>
              </w:rPr>
            </w:pP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一般公共预算</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政府性基金</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ascii="宋体" w:hAnsi="宋体"/>
                <w:color w:val="auto"/>
                <w:sz w:val="18"/>
                <w:szCs w:val="18"/>
                <w:highlight w:val="none"/>
              </w:rPr>
            </w:pPr>
            <w:r>
              <w:rPr>
                <w:rFonts w:hint="eastAsia"/>
                <w:color w:val="auto"/>
                <w:sz w:val="18"/>
                <w:szCs w:val="18"/>
                <w:highlight w:val="none"/>
              </w:rPr>
              <w:t>※</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60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b/>
                <w:color w:val="auto"/>
                <w:kern w:val="0"/>
                <w:sz w:val="18"/>
                <w:szCs w:val="18"/>
                <w:highlight w:val="none"/>
              </w:rPr>
              <w:t>合计</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因公出国（境）费</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公务接待费</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b/>
                <w:color w:val="auto"/>
                <w:kern w:val="0"/>
                <w:sz w:val="18"/>
                <w:szCs w:val="18"/>
                <w:highlight w:val="none"/>
              </w:rPr>
              <w:t>公务用车购置及运行费（小计）</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其中：公务用车购置费</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 xml:space="preserve">      公务用车运行费</w:t>
            </w: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c>
          <w:tcPr>
            <w:tcW w:w="1600" w:type="dxa"/>
            <w:shd w:val="clear" w:color="auto" w:fill="auto"/>
            <w:vAlign w:val="center"/>
          </w:tcPr>
          <w:p>
            <w:pPr>
              <w:jc w:val="right"/>
              <w:rPr>
                <w:rFonts w:ascii="宋体" w:hAnsi="宋体"/>
                <w:color w:val="auto"/>
                <w:sz w:val="18"/>
                <w:szCs w:val="18"/>
                <w:highlight w:val="none"/>
              </w:rPr>
            </w:pPr>
          </w:p>
        </w:tc>
      </w:tr>
    </w:tbl>
    <w:p>
      <w:pPr>
        <w:widowControl/>
        <w:jc w:val="left"/>
        <w:rPr>
          <w:rFonts w:ascii="仿宋" w:eastAsia="仿宋"/>
          <w:b/>
          <w:color w:val="auto"/>
          <w:szCs w:val="21"/>
          <w:highlight w:val="none"/>
        </w:rPr>
      </w:pPr>
      <w:r>
        <w:rPr>
          <w:rFonts w:hint="eastAsia" w:ascii="仿宋" w:eastAsia="仿宋"/>
          <w:b/>
          <w:color w:val="auto"/>
          <w:szCs w:val="21"/>
          <w:highlight w:val="none"/>
        </w:rPr>
        <w:t>额敏县上户镇寄宿制学校</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年没有使用财政拨款安排“三公”经费支出，财政拨款“三公”经费支出情况表为空表。</w:t>
      </w:r>
    </w:p>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表11</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上年结转结余情况明细表</w:t>
      </w:r>
    </w:p>
    <w:tbl>
      <w:tblPr>
        <w:tblStyle w:val="6"/>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auto"/>
                <w:sz w:val="18"/>
                <w:szCs w:val="18"/>
                <w:highlight w:val="none"/>
              </w:rPr>
            </w:pPr>
            <w:r>
              <w:rPr>
                <w:rFonts w:hint="eastAsia"/>
                <w:color w:val="auto"/>
                <w:sz w:val="18"/>
                <w:szCs w:val="18"/>
                <w:highlight w:val="none"/>
              </w:rPr>
              <w:t>编制部门：额敏县上户镇寄宿制学校</w:t>
            </w:r>
          </w:p>
        </w:tc>
        <w:tc>
          <w:tcPr>
            <w:tcW w:w="4254" w:type="dxa"/>
            <w:gridSpan w:val="5"/>
            <w:tcBorders>
              <w:top w:val="nil"/>
              <w:left w:val="nil"/>
              <w:right w:val="nil"/>
            </w:tcBorders>
          </w:tcPr>
          <w:p>
            <w:pPr>
              <w:jc w:val="right"/>
              <w:rPr>
                <w:rFonts w:hint="eastAsia"/>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w:t>
            </w:r>
          </w:p>
        </w:tc>
        <w:tc>
          <w:tcPr>
            <w:tcW w:w="124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4988" w:type="dxa"/>
            <w:gridSpan w:val="4"/>
            <w:vAlign w:val="center"/>
          </w:tcPr>
          <w:p>
            <w:pPr>
              <w:jc w:val="center"/>
              <w:rPr>
                <w:rFonts w:hint="eastAsia"/>
                <w:color w:val="auto"/>
                <w:sz w:val="18"/>
                <w:szCs w:val="18"/>
                <w:highlight w:val="none"/>
              </w:rPr>
            </w:pPr>
            <w:r>
              <w:rPr>
                <w:rFonts w:hint="eastAsia"/>
                <w:color w:val="auto"/>
                <w:sz w:val="18"/>
                <w:szCs w:val="18"/>
                <w:highlight w:val="none"/>
              </w:rPr>
              <w:t>财政拨款</w:t>
            </w:r>
          </w:p>
        </w:tc>
        <w:tc>
          <w:tcPr>
            <w:tcW w:w="4988" w:type="dxa"/>
            <w:gridSpan w:val="5"/>
            <w:vAlign w:val="center"/>
          </w:tcPr>
          <w:p>
            <w:pPr>
              <w:jc w:val="center"/>
              <w:rPr>
                <w:rFonts w:hint="eastAsia"/>
                <w:color w:val="auto"/>
                <w:sz w:val="18"/>
                <w:szCs w:val="18"/>
                <w:highlight w:val="none"/>
              </w:rPr>
            </w:pPr>
            <w:r>
              <w:rPr>
                <w:rFonts w:hint="eastAsia"/>
                <w:color w:val="auto"/>
                <w:sz w:val="18"/>
                <w:szCs w:val="18"/>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color w:val="auto"/>
                <w:sz w:val="18"/>
                <w:szCs w:val="18"/>
                <w:highlight w:val="none"/>
              </w:rPr>
            </w:pPr>
          </w:p>
        </w:tc>
        <w:tc>
          <w:tcPr>
            <w:tcW w:w="1247" w:type="dxa"/>
            <w:vMerge w:val="continue"/>
            <w:shd w:val="clear" w:color="auto" w:fill="auto"/>
            <w:vAlign w:val="center"/>
          </w:tcPr>
          <w:p>
            <w:pPr>
              <w:jc w:val="center"/>
              <w:rPr>
                <w:color w:val="auto"/>
                <w:sz w:val="18"/>
                <w:szCs w:val="18"/>
                <w:highlight w:val="none"/>
              </w:rPr>
            </w:pP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小计</w:t>
            </w:r>
          </w:p>
        </w:tc>
        <w:tc>
          <w:tcPr>
            <w:tcW w:w="2494" w:type="dxa"/>
            <w:gridSpan w:val="2"/>
            <w:vAlign w:val="center"/>
          </w:tcPr>
          <w:p>
            <w:pPr>
              <w:jc w:val="center"/>
              <w:rPr>
                <w:color w:val="auto"/>
                <w:sz w:val="18"/>
                <w:szCs w:val="18"/>
                <w:highlight w:val="none"/>
              </w:rPr>
            </w:pPr>
            <w:r>
              <w:rPr>
                <w:rFonts w:hint="eastAsia"/>
                <w:color w:val="auto"/>
                <w:sz w:val="18"/>
                <w:szCs w:val="18"/>
                <w:highlight w:val="none"/>
              </w:rPr>
              <w:t>基本支出</w:t>
            </w: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项目支出</w:t>
            </w:r>
          </w:p>
        </w:tc>
        <w:tc>
          <w:tcPr>
            <w:tcW w:w="1247" w:type="dxa"/>
            <w:gridSpan w:val="2"/>
            <w:vMerge w:val="restart"/>
            <w:vAlign w:val="center"/>
          </w:tcPr>
          <w:p>
            <w:pPr>
              <w:jc w:val="center"/>
              <w:rPr>
                <w:color w:val="auto"/>
                <w:sz w:val="18"/>
                <w:szCs w:val="18"/>
                <w:highlight w:val="none"/>
              </w:rPr>
            </w:pPr>
            <w:r>
              <w:rPr>
                <w:rFonts w:hint="eastAsia"/>
                <w:color w:val="auto"/>
                <w:sz w:val="18"/>
                <w:szCs w:val="18"/>
                <w:highlight w:val="none"/>
              </w:rPr>
              <w:t>小计</w:t>
            </w:r>
          </w:p>
        </w:tc>
        <w:tc>
          <w:tcPr>
            <w:tcW w:w="2494" w:type="dxa"/>
            <w:gridSpan w:val="2"/>
            <w:vAlign w:val="center"/>
          </w:tcPr>
          <w:p>
            <w:pPr>
              <w:jc w:val="center"/>
              <w:rPr>
                <w:color w:val="auto"/>
                <w:sz w:val="18"/>
                <w:szCs w:val="18"/>
                <w:highlight w:val="none"/>
              </w:rPr>
            </w:pPr>
            <w:r>
              <w:rPr>
                <w:rFonts w:hint="eastAsia"/>
                <w:color w:val="auto"/>
                <w:sz w:val="18"/>
                <w:szCs w:val="18"/>
                <w:highlight w:val="none"/>
              </w:rPr>
              <w:t>基本支出</w:t>
            </w: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color w:val="auto"/>
                <w:sz w:val="18"/>
                <w:szCs w:val="18"/>
                <w:highlight w:val="none"/>
              </w:rPr>
            </w:pPr>
          </w:p>
        </w:tc>
        <w:tc>
          <w:tcPr>
            <w:tcW w:w="1247" w:type="dxa"/>
            <w:vMerge w:val="continue"/>
            <w:shd w:val="clear" w:color="auto" w:fill="auto"/>
            <w:vAlign w:val="center"/>
          </w:tcPr>
          <w:p>
            <w:pPr>
              <w:jc w:val="center"/>
              <w:rPr>
                <w:color w:val="auto"/>
                <w:sz w:val="18"/>
                <w:szCs w:val="18"/>
                <w:highlight w:val="none"/>
              </w:rPr>
            </w:pPr>
          </w:p>
        </w:tc>
        <w:tc>
          <w:tcPr>
            <w:tcW w:w="1247" w:type="dxa"/>
            <w:vMerge w:val="continue"/>
            <w:vAlign w:val="center"/>
          </w:tcPr>
          <w:p>
            <w:pPr>
              <w:jc w:val="center"/>
              <w:rPr>
                <w:color w:val="auto"/>
                <w:sz w:val="18"/>
                <w:szCs w:val="18"/>
                <w:highlight w:val="none"/>
              </w:rPr>
            </w:pPr>
          </w:p>
        </w:tc>
        <w:tc>
          <w:tcPr>
            <w:tcW w:w="1247" w:type="dxa"/>
            <w:vAlign w:val="center"/>
          </w:tcPr>
          <w:p>
            <w:pPr>
              <w:jc w:val="center"/>
              <w:rPr>
                <w:color w:val="auto"/>
                <w:sz w:val="18"/>
                <w:szCs w:val="18"/>
                <w:highlight w:val="none"/>
              </w:rPr>
            </w:pPr>
            <w:r>
              <w:rPr>
                <w:rFonts w:hint="eastAsia"/>
                <w:color w:val="auto"/>
                <w:sz w:val="18"/>
                <w:szCs w:val="18"/>
                <w:highlight w:val="none"/>
              </w:rPr>
              <w:t>人员经费</w:t>
            </w:r>
          </w:p>
        </w:tc>
        <w:tc>
          <w:tcPr>
            <w:tcW w:w="1247" w:type="dxa"/>
            <w:vAlign w:val="center"/>
          </w:tcPr>
          <w:p>
            <w:pPr>
              <w:jc w:val="center"/>
              <w:rPr>
                <w:color w:val="auto"/>
                <w:sz w:val="18"/>
                <w:szCs w:val="18"/>
                <w:highlight w:val="none"/>
              </w:rPr>
            </w:pPr>
            <w:r>
              <w:rPr>
                <w:rFonts w:hint="eastAsia"/>
                <w:color w:val="auto"/>
                <w:sz w:val="18"/>
                <w:szCs w:val="18"/>
                <w:highlight w:val="none"/>
              </w:rPr>
              <w:t>公用经费</w:t>
            </w:r>
          </w:p>
        </w:tc>
        <w:tc>
          <w:tcPr>
            <w:tcW w:w="1247" w:type="dxa"/>
            <w:vMerge w:val="continue"/>
            <w:vAlign w:val="center"/>
          </w:tcPr>
          <w:p>
            <w:pPr>
              <w:jc w:val="center"/>
              <w:rPr>
                <w:color w:val="auto"/>
                <w:sz w:val="18"/>
                <w:szCs w:val="18"/>
                <w:highlight w:val="none"/>
              </w:rPr>
            </w:pPr>
          </w:p>
        </w:tc>
        <w:tc>
          <w:tcPr>
            <w:tcW w:w="1247" w:type="dxa"/>
            <w:gridSpan w:val="2"/>
            <w:vMerge w:val="continue"/>
            <w:vAlign w:val="center"/>
          </w:tcPr>
          <w:p>
            <w:pPr>
              <w:jc w:val="center"/>
              <w:rPr>
                <w:color w:val="auto"/>
                <w:sz w:val="18"/>
                <w:szCs w:val="18"/>
                <w:highlight w:val="none"/>
              </w:rPr>
            </w:pPr>
          </w:p>
        </w:tc>
        <w:tc>
          <w:tcPr>
            <w:tcW w:w="1247" w:type="dxa"/>
            <w:vAlign w:val="center"/>
          </w:tcPr>
          <w:p>
            <w:pPr>
              <w:jc w:val="center"/>
              <w:rPr>
                <w:color w:val="auto"/>
                <w:sz w:val="18"/>
                <w:szCs w:val="18"/>
                <w:highlight w:val="none"/>
              </w:rPr>
            </w:pPr>
            <w:r>
              <w:rPr>
                <w:rFonts w:hint="eastAsia"/>
                <w:color w:val="auto"/>
                <w:sz w:val="18"/>
                <w:szCs w:val="18"/>
                <w:highlight w:val="none"/>
              </w:rPr>
              <w:t>人员经费</w:t>
            </w:r>
          </w:p>
        </w:tc>
        <w:tc>
          <w:tcPr>
            <w:tcW w:w="1247" w:type="dxa"/>
            <w:vAlign w:val="center"/>
          </w:tcPr>
          <w:p>
            <w:pPr>
              <w:jc w:val="center"/>
              <w:rPr>
                <w:color w:val="auto"/>
                <w:sz w:val="18"/>
                <w:szCs w:val="18"/>
                <w:highlight w:val="none"/>
              </w:rPr>
            </w:pPr>
            <w:r>
              <w:rPr>
                <w:rFonts w:hint="eastAsia"/>
                <w:color w:val="auto"/>
                <w:sz w:val="18"/>
                <w:szCs w:val="18"/>
                <w:highlight w:val="none"/>
              </w:rPr>
              <w:t>公用经费</w:t>
            </w:r>
          </w:p>
        </w:tc>
        <w:tc>
          <w:tcPr>
            <w:tcW w:w="1247" w:type="dxa"/>
            <w:vMerge w:val="continue"/>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24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3</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4</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5</w:t>
            </w:r>
          </w:p>
        </w:tc>
        <w:tc>
          <w:tcPr>
            <w:tcW w:w="1247" w:type="dxa"/>
            <w:gridSpan w:val="2"/>
            <w:vAlign w:val="center"/>
          </w:tcPr>
          <w:p>
            <w:pPr>
              <w:jc w:val="center"/>
              <w:rPr>
                <w:rFonts w:hint="eastAsia"/>
                <w:color w:val="auto"/>
                <w:sz w:val="18"/>
                <w:szCs w:val="18"/>
                <w:highlight w:val="none"/>
              </w:rPr>
            </w:pPr>
            <w:r>
              <w:rPr>
                <w:rFonts w:hint="eastAsia"/>
                <w:color w:val="auto"/>
                <w:sz w:val="18"/>
                <w:szCs w:val="18"/>
                <w:highlight w:val="none"/>
              </w:rPr>
              <w:t>6</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7</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8</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总计</w:t>
            </w:r>
          </w:p>
        </w:tc>
        <w:tc>
          <w:tcPr>
            <w:tcW w:w="1247"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gridSpan w:val="2"/>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额敏县上户镇寄宿制学校</w:t>
            </w:r>
          </w:p>
        </w:tc>
        <w:tc>
          <w:tcPr>
            <w:tcW w:w="1247"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r>
              <w:rPr>
                <w:rFonts w:ascii="宋体" w:hAnsi="宋体"/>
                <w:b/>
                <w:color w:val="auto"/>
                <w:kern w:val="0"/>
                <w:sz w:val="13"/>
                <w:szCs w:val="13"/>
                <w:highlight w:val="none"/>
              </w:rPr>
              <w:t>1.41</w:t>
            </w:r>
          </w:p>
        </w:tc>
        <w:tc>
          <w:tcPr>
            <w:tcW w:w="1247" w:type="dxa"/>
            <w:gridSpan w:val="2"/>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c>
          <w:tcPr>
            <w:tcW w:w="1247" w:type="dxa"/>
            <w:vAlign w:val="center"/>
          </w:tcPr>
          <w:p>
            <w:pPr>
              <w:ind w:right="-29" w:rightChars="-14"/>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塔地财教〔2023〕106号提前下达</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年城乡义务教育补助经费预算〔自治区直达资金〕-小学家庭经济困难补助</w:t>
            </w:r>
          </w:p>
        </w:tc>
        <w:tc>
          <w:tcPr>
            <w:tcW w:w="1247"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1.16</w:t>
            </w:r>
          </w:p>
        </w:tc>
        <w:tc>
          <w:tcPr>
            <w:tcW w:w="1247" w:type="dxa"/>
            <w:vAlign w:val="center"/>
          </w:tcPr>
          <w:p>
            <w:pPr>
              <w:ind w:right="-29" w:rightChars="-14"/>
              <w:jc w:val="right"/>
              <w:rPr>
                <w:color w:val="auto"/>
                <w:sz w:val="18"/>
                <w:szCs w:val="18"/>
                <w:highlight w:val="none"/>
              </w:rPr>
            </w:pPr>
            <w:r>
              <w:rPr>
                <w:rFonts w:ascii="宋体" w:hAnsi="宋体"/>
                <w:color w:val="auto"/>
                <w:kern w:val="0"/>
                <w:sz w:val="13"/>
                <w:szCs w:val="13"/>
                <w:highlight w:val="none"/>
              </w:rPr>
              <w:t>1.16</w:t>
            </w: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r>
              <w:rPr>
                <w:rFonts w:ascii="宋体" w:hAnsi="宋体"/>
                <w:color w:val="auto"/>
                <w:kern w:val="0"/>
                <w:sz w:val="13"/>
                <w:szCs w:val="13"/>
                <w:highlight w:val="none"/>
              </w:rPr>
              <w:t>1.16</w:t>
            </w: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塔地财教〔2023〕108号提前下达</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年城乡义务教育补助经费预算（中央直达资金）-综合奖补（小学家庭经济困难学生生活补助）</w:t>
            </w:r>
          </w:p>
        </w:tc>
        <w:tc>
          <w:tcPr>
            <w:tcW w:w="1247"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0.25</w:t>
            </w:r>
          </w:p>
        </w:tc>
        <w:tc>
          <w:tcPr>
            <w:tcW w:w="1247" w:type="dxa"/>
            <w:vAlign w:val="center"/>
          </w:tcPr>
          <w:p>
            <w:pPr>
              <w:ind w:right="-29" w:rightChars="-14"/>
              <w:jc w:val="right"/>
              <w:rPr>
                <w:color w:val="auto"/>
                <w:sz w:val="18"/>
                <w:szCs w:val="18"/>
                <w:highlight w:val="none"/>
              </w:rPr>
            </w:pPr>
            <w:r>
              <w:rPr>
                <w:rFonts w:ascii="宋体" w:hAnsi="宋体"/>
                <w:color w:val="auto"/>
                <w:kern w:val="0"/>
                <w:sz w:val="13"/>
                <w:szCs w:val="13"/>
                <w:highlight w:val="none"/>
              </w:rPr>
              <w:t>0.25</w:t>
            </w: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r>
              <w:rPr>
                <w:rFonts w:ascii="宋体" w:hAnsi="宋体"/>
                <w:color w:val="auto"/>
                <w:kern w:val="0"/>
                <w:sz w:val="13"/>
                <w:szCs w:val="13"/>
                <w:highlight w:val="none"/>
              </w:rPr>
              <w:t>0.25</w:t>
            </w: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color w:val="auto"/>
          <w:sz w:val="30"/>
          <w:szCs w:val="30"/>
          <w:highlight w:val="none"/>
        </w:rPr>
      </w:pPr>
      <w:r>
        <w:rPr>
          <w:rFonts w:hint="eastAsia" w:ascii="黑体" w:eastAsia="黑体"/>
          <w:color w:val="auto"/>
          <w:sz w:val="30"/>
          <w:szCs w:val="30"/>
          <w:highlight w:val="none"/>
        </w:rPr>
        <w:t xml:space="preserve">第三部分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年部门预算情况说明</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年收支预算情况</w:t>
      </w:r>
      <w:r>
        <w:rPr>
          <w:rFonts w:hint="eastAsia" w:ascii="仿宋" w:hAnsi="华文楷体" w:eastAsia="仿宋"/>
          <w:color w:val="auto"/>
          <w:sz w:val="28"/>
          <w:szCs w:val="28"/>
          <w:highlight w:val="none"/>
          <w:lang w:val="en-US" w:eastAsia="zh-CN"/>
        </w:rPr>
        <w:t>的</w:t>
      </w:r>
      <w:r>
        <w:rPr>
          <w:rFonts w:hint="eastAsia" w:ascii="仿宋" w:hAnsi="华文楷体" w:eastAsia="仿宋"/>
          <w:color w:val="auto"/>
          <w:sz w:val="28"/>
          <w:szCs w:val="28"/>
          <w:highlight w:val="none"/>
        </w:rPr>
        <w:t>总体说明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按照全口径预算的原则，额敏县上户镇寄宿制学校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年所有收入和支出均纳入部门预算管理。收支总预算2,669.68万元。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收入预算包括：一般公共预算、单位资金、财政拨款结转结余。</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支出预算包括：教育支出、社会保障和就业支出、卫生健康支出、住房保障支出。</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年收入预算情况说明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额敏县上户镇寄宿制学校部门收入预算2,669.68万元，其中：</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一般公共预算2,608.14万元，占97.69%，比上年预算减少66.39万元，下降2.48%，主要</w:t>
      </w:r>
      <w:r>
        <w:rPr>
          <w:rFonts w:hint="eastAsia" w:ascii="仿宋" w:hAnsi="微软雅黑" w:eastAsia="仿宋"/>
          <w:color w:val="auto"/>
          <w:sz w:val="28"/>
          <w:szCs w:val="28"/>
          <w:highlight w:val="none"/>
          <w:lang w:eastAsia="zh-CN"/>
        </w:rPr>
        <w:t>原因是</w:t>
      </w:r>
      <w:r>
        <w:rPr>
          <w:rFonts w:hint="eastAsia" w:ascii="仿宋" w:hAnsi="微软雅黑" w:eastAsia="仿宋"/>
          <w:color w:val="auto"/>
          <w:sz w:val="28"/>
          <w:szCs w:val="28"/>
          <w:highlight w:val="none"/>
          <w:lang w:val="en-US" w:eastAsia="zh-CN"/>
        </w:rPr>
        <w:t>在职人数</w:t>
      </w:r>
      <w:r>
        <w:rPr>
          <w:rFonts w:hint="eastAsia" w:ascii="仿宋" w:hAnsi="微软雅黑" w:eastAsia="仿宋"/>
          <w:color w:val="auto"/>
          <w:sz w:val="28"/>
          <w:szCs w:val="28"/>
          <w:highlight w:val="none"/>
        </w:rPr>
        <w:t>减少，</w:t>
      </w:r>
      <w:r>
        <w:rPr>
          <w:rFonts w:hint="eastAsia" w:ascii="仿宋" w:hAnsi="微软雅黑" w:eastAsia="仿宋"/>
          <w:color w:val="auto"/>
          <w:sz w:val="28"/>
          <w:szCs w:val="28"/>
          <w:highlight w:val="none"/>
          <w:lang w:eastAsia="zh-CN"/>
        </w:rPr>
        <w:t>因此</w:t>
      </w:r>
      <w:r>
        <w:rPr>
          <w:rFonts w:hint="eastAsia" w:ascii="仿宋" w:hAnsi="微软雅黑" w:eastAsia="仿宋"/>
          <w:color w:val="auto"/>
          <w:sz w:val="28"/>
          <w:szCs w:val="28"/>
          <w:highlight w:val="none"/>
        </w:rPr>
        <w:t>预算</w:t>
      </w:r>
      <w:r>
        <w:rPr>
          <w:rFonts w:hint="eastAsia" w:ascii="仿宋" w:hAnsi="微软雅黑" w:eastAsia="仿宋"/>
          <w:color w:val="auto"/>
          <w:sz w:val="28"/>
          <w:szCs w:val="28"/>
          <w:highlight w:val="none"/>
          <w:lang w:val="en-US" w:eastAsia="zh-CN"/>
        </w:rPr>
        <w:t>数</w:t>
      </w:r>
      <w:r>
        <w:rPr>
          <w:rFonts w:hint="eastAsia" w:ascii="仿宋" w:hAnsi="微软雅黑" w:eastAsia="仿宋"/>
          <w:color w:val="auto"/>
          <w:sz w:val="28"/>
          <w:szCs w:val="28"/>
          <w:highlight w:val="none"/>
        </w:rPr>
        <w:t>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上级一般公共预算安排的转移支付资金43.88万元，占1.64%，比上年预算减少17.00万元，下降27.92%，</w:t>
      </w:r>
      <w:r>
        <w:rPr>
          <w:rFonts w:hint="eastAsia" w:ascii="仿宋" w:hAnsi="微软雅黑" w:eastAsia="仿宋"/>
          <w:sz w:val="28"/>
          <w:szCs w:val="28"/>
        </w:rPr>
        <w:t>主要原因是</w:t>
      </w:r>
      <w:r>
        <w:rPr>
          <w:rFonts w:hint="eastAsia" w:ascii="仿宋" w:hAnsi="微软雅黑" w:eastAsia="仿宋"/>
          <w:sz w:val="28"/>
          <w:szCs w:val="28"/>
          <w:lang w:val="en-US" w:eastAsia="zh-CN"/>
        </w:rPr>
        <w:t>学生人数减少，公用经费及补助减少，因此</w:t>
      </w:r>
      <w:r>
        <w:rPr>
          <w:rFonts w:hint="eastAsia" w:ascii="仿宋" w:hAnsi="微软雅黑" w:eastAsia="仿宋"/>
          <w:sz w:val="28"/>
          <w:szCs w:val="28"/>
        </w:rPr>
        <w:t>预算数较上年减少。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政府性基金预算未安排。</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上级政府性基金安排的转移支付资金未安排。</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国有资本经营预算未安排。</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上级国有资本经营预算安排的转移支付资金未安排。</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color w:val="auto"/>
          <w:sz w:val="28"/>
          <w:szCs w:val="28"/>
          <w:highlight w:val="none"/>
        </w:rPr>
        <w:t>单位资金16.26万元，占0.61%，比上年预算减少80.67万元，下降83.23%，主要原因是</w:t>
      </w:r>
      <w:r>
        <w:rPr>
          <w:rFonts w:hint="eastAsia" w:ascii="仿宋" w:hAnsi="微软雅黑" w:eastAsia="仿宋"/>
          <w:sz w:val="28"/>
          <w:szCs w:val="28"/>
          <w:lang w:eastAsia="zh-CN"/>
        </w:rPr>
        <w:t>2026</w:t>
      </w:r>
      <w:r>
        <w:rPr>
          <w:rFonts w:hint="eastAsia" w:ascii="仿宋" w:hAnsi="微软雅黑" w:eastAsia="仿宋"/>
          <w:sz w:val="28"/>
          <w:szCs w:val="28"/>
        </w:rPr>
        <w:t>年教师生育津贴、个人所得税</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财政拨款结转1.41万元，占0.05%，比上年预算增加0.56万元，增长65.88%，主要原因是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年经费支出力度</w:t>
      </w:r>
      <w:r>
        <w:rPr>
          <w:rFonts w:hint="eastAsia" w:ascii="仿宋" w:hAnsi="微软雅黑" w:eastAsia="仿宋"/>
          <w:color w:val="auto"/>
          <w:sz w:val="28"/>
          <w:szCs w:val="28"/>
          <w:highlight w:val="none"/>
          <w:lang w:val="en-US" w:eastAsia="zh-CN"/>
        </w:rPr>
        <w:t>一般</w:t>
      </w:r>
      <w:r>
        <w:rPr>
          <w:rFonts w:hint="eastAsia" w:ascii="仿宋" w:hAnsi="微软雅黑" w:eastAsia="仿宋"/>
          <w:color w:val="auto"/>
          <w:sz w:val="28"/>
          <w:szCs w:val="28"/>
          <w:highlight w:val="none"/>
        </w:rPr>
        <w:t>，项目结余资金</w:t>
      </w:r>
      <w:r>
        <w:rPr>
          <w:rFonts w:hint="eastAsia" w:ascii="仿宋" w:hAnsi="微软雅黑" w:eastAsia="仿宋"/>
          <w:color w:val="auto"/>
          <w:sz w:val="28"/>
          <w:szCs w:val="28"/>
          <w:highlight w:val="none"/>
          <w:lang w:val="en-US" w:eastAsia="zh-CN"/>
        </w:rPr>
        <w:t>增加</w:t>
      </w:r>
      <w:r>
        <w:rPr>
          <w:rFonts w:hint="eastAsia" w:ascii="仿宋" w:hAnsi="微软雅黑" w:eastAsia="仿宋"/>
          <w:color w:val="auto"/>
          <w:sz w:val="28"/>
          <w:szCs w:val="28"/>
          <w:highlight w:val="none"/>
        </w:rPr>
        <w:t>，财政拨款结转比上年预算</w:t>
      </w:r>
      <w:r>
        <w:rPr>
          <w:rFonts w:hint="eastAsia" w:ascii="仿宋" w:hAnsi="微软雅黑" w:eastAsia="仿宋"/>
          <w:color w:val="auto"/>
          <w:sz w:val="28"/>
          <w:szCs w:val="28"/>
          <w:highlight w:val="none"/>
          <w:lang w:val="en-US" w:eastAsia="zh-CN"/>
        </w:rPr>
        <w:t>增加</w:t>
      </w:r>
      <w:r>
        <w:rPr>
          <w:rFonts w:hint="eastAsia" w:ascii="仿宋" w:hAnsi="微软雅黑" w:eastAsia="仿宋"/>
          <w:color w:val="auto"/>
          <w:sz w:val="28"/>
          <w:szCs w:val="28"/>
          <w:highlight w:val="none"/>
        </w:rPr>
        <w:t>。</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年支出预算情况说明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年支出预算2,669.68万元，其中：</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基本支出2,525.08万元，占94.58%，比上年预算减少93.21万元，下降3.56%，主要</w:t>
      </w:r>
      <w:r>
        <w:rPr>
          <w:rFonts w:hint="eastAsia" w:ascii="仿宋" w:hAnsi="微软雅黑" w:eastAsia="仿宋"/>
          <w:color w:val="auto"/>
          <w:sz w:val="28"/>
          <w:szCs w:val="28"/>
          <w:highlight w:val="none"/>
          <w:lang w:eastAsia="zh-CN"/>
        </w:rPr>
        <w:t>原因是</w:t>
      </w:r>
      <w:r>
        <w:rPr>
          <w:rFonts w:hint="eastAsia" w:ascii="仿宋" w:hAnsi="微软雅黑" w:eastAsia="仿宋"/>
          <w:color w:val="auto"/>
          <w:sz w:val="28"/>
          <w:szCs w:val="28"/>
          <w:highlight w:val="none"/>
          <w:lang w:val="en-US" w:eastAsia="zh-CN"/>
        </w:rPr>
        <w:t>在职人数减少，因此</w:t>
      </w:r>
      <w:r>
        <w:rPr>
          <w:rFonts w:hint="eastAsia" w:ascii="仿宋" w:hAnsi="微软雅黑" w:eastAsia="仿宋"/>
          <w:color w:val="auto"/>
          <w:sz w:val="28"/>
          <w:szCs w:val="28"/>
          <w:highlight w:val="none"/>
        </w:rPr>
        <w:t>预算</w:t>
      </w:r>
      <w:r>
        <w:rPr>
          <w:rFonts w:hint="eastAsia" w:ascii="仿宋" w:hAnsi="微软雅黑" w:eastAsia="仿宋"/>
          <w:color w:val="auto"/>
          <w:sz w:val="28"/>
          <w:szCs w:val="28"/>
          <w:highlight w:val="none"/>
          <w:lang w:val="en-US" w:eastAsia="zh-CN"/>
        </w:rPr>
        <w:t>数</w:t>
      </w:r>
      <w:r>
        <w:rPr>
          <w:rFonts w:hint="eastAsia" w:ascii="仿宋" w:hAnsi="微软雅黑" w:eastAsia="仿宋"/>
          <w:color w:val="auto"/>
          <w:sz w:val="28"/>
          <w:szCs w:val="28"/>
          <w:highlight w:val="none"/>
        </w:rPr>
        <w:t>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项目支出144.60万元，占5.42%，比上年预算减少70.29万元，下降32.71%，主要原因是学生人数减少，</w:t>
      </w:r>
      <w:r>
        <w:rPr>
          <w:rFonts w:hint="eastAsia" w:ascii="仿宋" w:hAnsi="微软雅黑" w:eastAsia="仿宋"/>
          <w:sz w:val="28"/>
          <w:szCs w:val="28"/>
          <w:lang w:val="en-US" w:eastAsia="zh-CN"/>
        </w:rPr>
        <w:t>公用经费及补助减少，</w:t>
      </w:r>
      <w:r>
        <w:rPr>
          <w:rFonts w:hint="eastAsia" w:ascii="仿宋" w:hAnsi="微软雅黑" w:eastAsia="仿宋"/>
          <w:color w:val="auto"/>
          <w:sz w:val="28"/>
          <w:szCs w:val="28"/>
          <w:highlight w:val="none"/>
          <w:lang w:val="en-US" w:eastAsia="zh-CN"/>
        </w:rPr>
        <w:t>因此</w:t>
      </w:r>
      <w:r>
        <w:rPr>
          <w:rFonts w:hint="eastAsia" w:ascii="仿宋" w:hAnsi="微软雅黑" w:eastAsia="仿宋"/>
          <w:color w:val="auto"/>
          <w:sz w:val="28"/>
          <w:szCs w:val="28"/>
          <w:highlight w:val="none"/>
        </w:rPr>
        <w:t>预算</w:t>
      </w:r>
      <w:r>
        <w:rPr>
          <w:rFonts w:hint="eastAsia" w:ascii="仿宋" w:hAnsi="微软雅黑" w:eastAsia="仿宋"/>
          <w:color w:val="auto"/>
          <w:sz w:val="28"/>
          <w:szCs w:val="28"/>
          <w:highlight w:val="none"/>
          <w:lang w:val="en-US" w:eastAsia="zh-CN"/>
        </w:rPr>
        <w:t>数较</w:t>
      </w:r>
      <w:r>
        <w:rPr>
          <w:rFonts w:hint="eastAsia" w:ascii="仿宋" w:hAnsi="微软雅黑" w:eastAsia="仿宋"/>
          <w:color w:val="auto"/>
          <w:sz w:val="28"/>
          <w:szCs w:val="28"/>
          <w:highlight w:val="none"/>
        </w:rPr>
        <w:t>上年减少。</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年财政拨款收支总预算2,652.02万元。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收入预算包括：一般公共预算拨款2,652.02万元。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一般公共预算支出包括：教育支出1,965.84万元，主要用于保障正常运行的人员经费、公用经费支出；社会保障和就业支出350.06万元，主要用于人员社保缴费支出；卫生健康支出124.39万元，主要用于人员医疗保险缴费支出；住房保障支出211.73万元，主要用于人员住房公积金缴费支出。</w:t>
      </w:r>
      <w:r>
        <w:rPr>
          <w:rFonts w:hint="eastAsia" w:ascii="仿宋" w:hAnsi="微软雅黑" w:eastAsia="仿宋"/>
          <w:color w:val="auto"/>
          <w:sz w:val="28"/>
          <w:szCs w:val="28"/>
          <w:highlight w:val="none"/>
          <w:lang w:val="en-US" w:eastAsia="zh-CN"/>
        </w:rPr>
        <w:t xml:space="preserve"> </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年一般公共预算当年拨款情况说明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（一）一般公共预算当年拨款规模变化情况</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年一般公共预算拨款合计2,652.02万元，其中：</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基本支出2,525.08万元，比上年预算减少93.21万元，下降3.56%，</w:t>
      </w:r>
      <w:bookmarkStart w:id="0" w:name="OLE_LINK3"/>
      <w:r>
        <w:rPr>
          <w:rFonts w:hint="eastAsia" w:ascii="仿宋" w:hAnsi="微软雅黑" w:eastAsia="仿宋"/>
          <w:color w:val="auto"/>
          <w:sz w:val="28"/>
          <w:szCs w:val="28"/>
          <w:highlight w:val="none"/>
        </w:rPr>
        <w:t>主要</w:t>
      </w:r>
      <w:r>
        <w:rPr>
          <w:rFonts w:hint="eastAsia" w:ascii="仿宋" w:hAnsi="微软雅黑" w:eastAsia="仿宋"/>
          <w:color w:val="auto"/>
          <w:sz w:val="28"/>
          <w:szCs w:val="28"/>
          <w:highlight w:val="none"/>
          <w:lang w:eastAsia="zh-CN"/>
        </w:rPr>
        <w:t>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人数较少，</w:t>
      </w:r>
      <w:r>
        <w:rPr>
          <w:rFonts w:hint="eastAsia" w:ascii="仿宋" w:hAnsi="微软雅黑" w:eastAsia="仿宋"/>
          <w:color w:val="auto"/>
          <w:sz w:val="28"/>
          <w:szCs w:val="28"/>
          <w:highlight w:val="none"/>
          <w:lang w:eastAsia="zh-CN"/>
        </w:rPr>
        <w:t>因此</w:t>
      </w:r>
      <w:r>
        <w:rPr>
          <w:rFonts w:hint="eastAsia" w:ascii="仿宋" w:hAnsi="微软雅黑" w:eastAsia="仿宋"/>
          <w:color w:val="auto"/>
          <w:sz w:val="28"/>
          <w:szCs w:val="28"/>
          <w:highlight w:val="none"/>
        </w:rPr>
        <w:t>预算</w:t>
      </w:r>
      <w:r>
        <w:rPr>
          <w:rFonts w:hint="eastAsia" w:ascii="仿宋" w:hAnsi="微软雅黑" w:eastAsia="仿宋"/>
          <w:color w:val="auto"/>
          <w:sz w:val="28"/>
          <w:szCs w:val="28"/>
          <w:highlight w:val="none"/>
          <w:lang w:val="en-US" w:eastAsia="zh-CN"/>
        </w:rPr>
        <w:t>数</w:t>
      </w:r>
      <w:r>
        <w:rPr>
          <w:rFonts w:hint="eastAsia" w:ascii="仿宋" w:hAnsi="微软雅黑" w:eastAsia="仿宋"/>
          <w:color w:val="auto"/>
          <w:sz w:val="28"/>
          <w:szCs w:val="28"/>
          <w:highlight w:val="none"/>
        </w:rPr>
        <w:t>较上年减少。</w:t>
      </w:r>
    </w:p>
    <w:bookmarkEnd w:id="0"/>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项目支出126.93万元，比上年预算增加9.82万元，增长8.39%，主要</w:t>
      </w:r>
      <w:r>
        <w:rPr>
          <w:rFonts w:hint="eastAsia" w:ascii="仿宋" w:hAnsi="微软雅黑" w:eastAsia="仿宋"/>
          <w:color w:val="auto"/>
          <w:sz w:val="28"/>
          <w:szCs w:val="28"/>
          <w:highlight w:val="none"/>
          <w:lang w:eastAsia="zh-CN"/>
        </w:rPr>
        <w:t>原因是</w:t>
      </w:r>
      <w:r>
        <w:rPr>
          <w:rFonts w:hint="eastAsia" w:ascii="仿宋" w:hAnsi="微软雅黑" w:eastAsia="仿宋"/>
          <w:color w:val="auto"/>
          <w:sz w:val="28"/>
          <w:szCs w:val="28"/>
          <w:highlight w:val="none"/>
        </w:rPr>
        <w:t>学生人数</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rPr>
        <w:t>，</w:t>
      </w:r>
      <w:r>
        <w:rPr>
          <w:rFonts w:hint="eastAsia" w:ascii="仿宋" w:hAnsi="微软雅黑" w:eastAsia="仿宋"/>
          <w:sz w:val="28"/>
          <w:szCs w:val="28"/>
          <w:lang w:val="en-US" w:eastAsia="zh-CN"/>
        </w:rPr>
        <w:t>公用经费及补助减少，</w:t>
      </w:r>
      <w:r>
        <w:rPr>
          <w:rFonts w:hint="eastAsia" w:ascii="仿宋" w:hAnsi="微软雅黑" w:eastAsia="仿宋"/>
          <w:color w:val="auto"/>
          <w:sz w:val="28"/>
          <w:szCs w:val="28"/>
          <w:highlight w:val="none"/>
          <w:lang w:eastAsia="zh-CN"/>
        </w:rPr>
        <w:t>因此</w:t>
      </w:r>
      <w:r>
        <w:rPr>
          <w:rFonts w:hint="eastAsia" w:ascii="仿宋" w:hAnsi="微软雅黑" w:eastAsia="仿宋"/>
          <w:color w:val="auto"/>
          <w:sz w:val="28"/>
          <w:szCs w:val="28"/>
          <w:highlight w:val="none"/>
        </w:rPr>
        <w:t>预算</w:t>
      </w:r>
      <w:r>
        <w:rPr>
          <w:rFonts w:hint="eastAsia" w:ascii="仿宋" w:hAnsi="微软雅黑" w:eastAsia="仿宋"/>
          <w:color w:val="auto"/>
          <w:sz w:val="28"/>
          <w:szCs w:val="28"/>
          <w:highlight w:val="none"/>
          <w:lang w:val="en-US" w:eastAsia="zh-CN"/>
        </w:rPr>
        <w:t>数</w:t>
      </w:r>
      <w:r>
        <w:rPr>
          <w:rFonts w:hint="eastAsia" w:ascii="仿宋" w:hAnsi="微软雅黑" w:eastAsia="仿宋"/>
          <w:color w:val="auto"/>
          <w:sz w:val="28"/>
          <w:szCs w:val="28"/>
          <w:highlight w:val="none"/>
        </w:rPr>
        <w:t>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（二）一般公共预算当年拨款结构情况</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1、教育支出（类）1,965.84万元，占74.13%。</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2、社会保障和就业支出（类）350.06万元，占13.20%。</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3、卫生健康支出（类）124.39万元，占4.69%。</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4、住房保障支出（类）211.73万元，占7.98%。</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（三）一般公共预算当年拨款具体使用情况</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1、教育支出（类）普通教育（款）学前教育（项）：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年预算数为303.93万元，比上年预算减少23.96万元，下降7.31%，主要原因是学前教育学生</w:t>
      </w:r>
      <w:r>
        <w:rPr>
          <w:rFonts w:hint="eastAsia" w:ascii="仿宋" w:hAnsi="微软雅黑" w:eastAsia="仿宋"/>
          <w:color w:val="auto"/>
          <w:sz w:val="28"/>
          <w:szCs w:val="28"/>
          <w:highlight w:val="none"/>
          <w:lang w:val="en-US" w:eastAsia="zh-CN"/>
        </w:rPr>
        <w:t>人数减少</w:t>
      </w:r>
      <w:r>
        <w:rPr>
          <w:rFonts w:hint="eastAsia" w:ascii="仿宋" w:hAnsi="微软雅黑" w:eastAsia="仿宋"/>
          <w:color w:val="auto"/>
          <w:sz w:val="28"/>
          <w:szCs w:val="28"/>
          <w:highlight w:val="none"/>
        </w:rPr>
        <w:t>，</w:t>
      </w:r>
      <w:r>
        <w:rPr>
          <w:rFonts w:hint="eastAsia" w:ascii="仿宋" w:hAnsi="微软雅黑" w:eastAsia="仿宋"/>
          <w:color w:val="auto"/>
          <w:sz w:val="28"/>
          <w:szCs w:val="28"/>
          <w:highlight w:val="none"/>
          <w:lang w:val="en-US" w:eastAsia="zh-CN"/>
        </w:rPr>
        <w:t>因此</w:t>
      </w:r>
      <w:r>
        <w:rPr>
          <w:rFonts w:hint="eastAsia" w:ascii="仿宋" w:hAnsi="微软雅黑" w:eastAsia="仿宋"/>
          <w:color w:val="auto"/>
          <w:sz w:val="28"/>
          <w:szCs w:val="28"/>
          <w:highlight w:val="none"/>
        </w:rPr>
        <w:t>预算数较上年减少。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2、教育支出（类）普通教育（款）小学教育（项）：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年预算数为1,661.91万元，比上年预算增加66.13万元，增长4.14%，主要原因是教师晋升职称，工资调增，</w:t>
      </w:r>
      <w:r>
        <w:rPr>
          <w:rFonts w:hint="eastAsia" w:ascii="仿宋" w:hAnsi="微软雅黑" w:eastAsia="仿宋"/>
          <w:color w:val="auto"/>
          <w:sz w:val="28"/>
          <w:szCs w:val="28"/>
          <w:highlight w:val="none"/>
          <w:lang w:val="en-US" w:eastAsia="zh-CN"/>
        </w:rPr>
        <w:t>因此</w:t>
      </w:r>
      <w:r>
        <w:rPr>
          <w:rFonts w:hint="eastAsia" w:ascii="仿宋" w:hAnsi="微软雅黑" w:eastAsia="仿宋"/>
          <w:color w:val="auto"/>
          <w:sz w:val="28"/>
          <w:szCs w:val="28"/>
          <w:highlight w:val="none"/>
        </w:rPr>
        <w:t>预算数较上年增加。</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3、教育支出（类）特殊教育（款）特殊学校教育（项）：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年预算数为0.00万元，比上年预算减少1.69万元，下降100.00%，主要原因是</w:t>
      </w:r>
      <w:r>
        <w:rPr>
          <w:rFonts w:hint="eastAsia" w:ascii="仿宋" w:hAnsi="微软雅黑" w:eastAsia="仿宋"/>
          <w:color w:val="auto"/>
          <w:sz w:val="28"/>
          <w:szCs w:val="28"/>
          <w:highlight w:val="none"/>
          <w:lang w:val="en-US" w:eastAsia="zh-CN"/>
        </w:rPr>
        <w:t>本年度</w:t>
      </w:r>
      <w:r>
        <w:rPr>
          <w:rFonts w:hint="eastAsia" w:ascii="仿宋" w:hAnsi="微软雅黑" w:eastAsia="仿宋"/>
          <w:color w:val="auto"/>
          <w:sz w:val="28"/>
          <w:szCs w:val="28"/>
          <w:highlight w:val="none"/>
        </w:rPr>
        <w:t>特殊学校教育</w:t>
      </w:r>
      <w:r>
        <w:rPr>
          <w:rFonts w:hint="eastAsia" w:ascii="仿宋" w:hAnsi="微软雅黑" w:eastAsia="仿宋"/>
          <w:color w:val="auto"/>
          <w:sz w:val="28"/>
          <w:szCs w:val="28"/>
          <w:highlight w:val="none"/>
          <w:lang w:val="en-US" w:eastAsia="zh-CN"/>
        </w:rPr>
        <w:t>支出由</w:t>
      </w:r>
      <w:r>
        <w:rPr>
          <w:rFonts w:hint="eastAsia" w:ascii="仿宋" w:hAnsi="微软雅黑" w:eastAsia="仿宋"/>
          <w:color w:val="auto"/>
          <w:sz w:val="28"/>
          <w:szCs w:val="28"/>
          <w:highlight w:val="none"/>
        </w:rPr>
        <w:t>特殊学校教育（项）</w:t>
      </w:r>
      <w:r>
        <w:rPr>
          <w:rFonts w:hint="eastAsia" w:ascii="仿宋" w:hAnsi="微软雅黑" w:eastAsia="仿宋"/>
          <w:color w:val="auto"/>
          <w:sz w:val="28"/>
          <w:szCs w:val="28"/>
          <w:highlight w:val="none"/>
          <w:lang w:val="en-US" w:eastAsia="zh-CN"/>
        </w:rPr>
        <w:t>调整为</w:t>
      </w:r>
      <w:r>
        <w:rPr>
          <w:rFonts w:hint="eastAsia" w:ascii="仿宋" w:hAnsi="微软雅黑" w:eastAsia="仿宋"/>
          <w:color w:val="auto"/>
          <w:sz w:val="28"/>
          <w:szCs w:val="28"/>
          <w:highlight w:val="none"/>
        </w:rPr>
        <w:t>小学教育（项）</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lang w:val="en-US" w:eastAsia="zh-CN"/>
        </w:rPr>
        <w:t>因此</w:t>
      </w:r>
      <w:r>
        <w:rPr>
          <w:rFonts w:hint="eastAsia" w:ascii="仿宋" w:hAnsi="微软雅黑" w:eastAsia="仿宋"/>
          <w:color w:val="auto"/>
          <w:sz w:val="28"/>
          <w:szCs w:val="28"/>
          <w:highlight w:val="none"/>
          <w:lang w:eastAsia="zh-CN"/>
        </w:rPr>
        <w:t>预算数较上年减少</w:t>
      </w:r>
      <w:r>
        <w:rPr>
          <w:rFonts w:hint="eastAsia" w:ascii="仿宋" w:hAnsi="微软雅黑" w:eastAsia="仿宋"/>
          <w:color w:val="auto"/>
          <w:sz w:val="28"/>
          <w:szCs w:val="28"/>
          <w:highlight w:val="none"/>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4、社会保障和就业支出（类）行政事业单位养老支出（款）事业单位离退休（项）：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年预算数为102.88万元，比上年预算减少24.94万元，下降19.51%，主要原因是根据新医保发〔2023〕58号相关规定，</w:t>
      </w:r>
      <w:r>
        <w:rPr>
          <w:rFonts w:hint="eastAsia" w:ascii="仿宋" w:hAnsi="微软雅黑" w:eastAsia="仿宋"/>
          <w:color w:val="auto"/>
          <w:sz w:val="28"/>
          <w:szCs w:val="28"/>
          <w:highlight w:val="none"/>
          <w:lang w:val="en-US" w:eastAsia="zh-CN"/>
        </w:rPr>
        <w:t>部门</w:t>
      </w:r>
      <w:r>
        <w:rPr>
          <w:rFonts w:hint="eastAsia" w:ascii="仿宋" w:hAnsi="微软雅黑" w:eastAsia="仿宋"/>
          <w:color w:val="auto"/>
          <w:sz w:val="28"/>
          <w:szCs w:val="28"/>
          <w:highlight w:val="none"/>
        </w:rPr>
        <w:t>退休人员医保缴费年限已满，不再缴纳医疗保险，因此</w:t>
      </w:r>
      <w:r>
        <w:rPr>
          <w:rFonts w:hint="eastAsia" w:ascii="仿宋" w:hAnsi="微软雅黑" w:eastAsia="仿宋"/>
          <w:color w:val="auto"/>
          <w:sz w:val="28"/>
          <w:szCs w:val="28"/>
          <w:highlight w:val="none"/>
          <w:lang w:val="en-US" w:eastAsia="zh-CN"/>
        </w:rPr>
        <w:t>预算数较</w:t>
      </w:r>
      <w:r>
        <w:rPr>
          <w:rFonts w:hint="eastAsia" w:ascii="仿宋" w:hAnsi="微软雅黑" w:eastAsia="仿宋"/>
          <w:color w:val="auto"/>
          <w:sz w:val="28"/>
          <w:szCs w:val="28"/>
          <w:highlight w:val="none"/>
        </w:rPr>
        <w:t>上年</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5、社会保障和就业支出（类）行政事业单位养老支出（款）机关事业单位基本养老保险缴费支出（项）：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年预算数为247.18万元，比上年预算增加4.41万元，增长1.82%，主要原因是人员基本养老保险缴费基数调增，</w:t>
      </w:r>
      <w:r>
        <w:rPr>
          <w:rFonts w:hint="eastAsia" w:ascii="仿宋" w:hAnsi="微软雅黑" w:eastAsia="仿宋"/>
          <w:color w:val="auto"/>
          <w:sz w:val="28"/>
          <w:szCs w:val="28"/>
          <w:highlight w:val="none"/>
          <w:lang w:val="en-US" w:eastAsia="zh-CN"/>
        </w:rPr>
        <w:t>因此</w:t>
      </w:r>
      <w:r>
        <w:rPr>
          <w:rFonts w:hint="eastAsia" w:ascii="仿宋" w:hAnsi="微软雅黑" w:eastAsia="仿宋"/>
          <w:sz w:val="28"/>
          <w:szCs w:val="28"/>
        </w:rPr>
        <w:t>预算数</w:t>
      </w:r>
      <w:r>
        <w:rPr>
          <w:rFonts w:hint="eastAsia" w:ascii="仿宋" w:hAnsi="微软雅黑" w:eastAsia="仿宋"/>
          <w:color w:val="auto"/>
          <w:sz w:val="28"/>
          <w:szCs w:val="28"/>
          <w:highlight w:val="none"/>
        </w:rPr>
        <w:t>较上年增加。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6、社会保障和就业支出（类）行政事业单位养老支出（款）机关事业单位职业年金缴费支出（项）：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年预算数为0.00万元，比上年预算减少121.39万元，下降100.00%，主要原因是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7、卫生健康支出（类）行政事业单位医疗（款）事业单位医疗（项）：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年预算数为124.39万元，比上年预算增加3.00万元，增长2.47%，主要原因是人员医疗保险缴费基数调增，</w:t>
      </w:r>
      <w:r>
        <w:rPr>
          <w:rFonts w:hint="eastAsia" w:ascii="仿宋" w:hAnsi="微软雅黑" w:eastAsia="仿宋"/>
          <w:color w:val="auto"/>
          <w:sz w:val="28"/>
          <w:szCs w:val="28"/>
          <w:highlight w:val="none"/>
          <w:lang w:val="en-US" w:eastAsia="zh-CN"/>
        </w:rPr>
        <w:t>因此</w:t>
      </w:r>
      <w:r>
        <w:rPr>
          <w:rFonts w:hint="eastAsia" w:ascii="仿宋" w:hAnsi="微软雅黑" w:eastAsia="仿宋"/>
          <w:sz w:val="28"/>
          <w:szCs w:val="28"/>
        </w:rPr>
        <w:t>预算数</w:t>
      </w:r>
      <w:r>
        <w:rPr>
          <w:rFonts w:hint="eastAsia" w:ascii="仿宋" w:hAnsi="微软雅黑" w:eastAsia="仿宋"/>
          <w:color w:val="auto"/>
          <w:sz w:val="28"/>
          <w:szCs w:val="28"/>
          <w:highlight w:val="none"/>
        </w:rPr>
        <w:t>较上年增加。</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8、住房保障支出（类）住房改革支出（款）住房公积金（项）：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年预算数为211.73万元，比上年预算增加15.05万元，增长7.65%，主要原因是人员住房公积金缴费基数调增</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lang w:val="en-US" w:eastAsia="zh-CN"/>
        </w:rPr>
        <w:t>因此</w:t>
      </w:r>
      <w:r>
        <w:rPr>
          <w:rFonts w:hint="eastAsia" w:ascii="仿宋" w:hAnsi="微软雅黑" w:eastAsia="仿宋"/>
          <w:sz w:val="28"/>
          <w:szCs w:val="28"/>
        </w:rPr>
        <w:t>预算数</w:t>
      </w:r>
      <w:r>
        <w:rPr>
          <w:rFonts w:hint="eastAsia" w:ascii="仿宋" w:hAnsi="微软雅黑" w:eastAsia="仿宋"/>
          <w:color w:val="auto"/>
          <w:sz w:val="28"/>
          <w:szCs w:val="28"/>
          <w:highlight w:val="none"/>
        </w:rPr>
        <w:t>较上年增加。</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年一般公共预算基本支出情况说明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年一般公共预算基本支出2,525.08万元，其中：</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人员经费2,479.31万元，主要包括：基本工资、津贴补贴、奖金、绩效工资、机关事业单位基本养老保险缴费、职工基本医疗保险缴费、其他社会保障缴费、住房公积金、其他工资福利支出、退休费、生活补助、奖励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公用经费45.78万元，主要包括：工会经费、福利费。</w:t>
      </w:r>
    </w:p>
    <w:p>
      <w:pPr>
        <w:pStyle w:val="3"/>
        <w:pageBreakBefore w:val="0"/>
        <w:numPr>
          <w:ilvl w:val="0"/>
          <w:numId w:val="2"/>
        </w:numPr>
        <w:kinsoku/>
        <w:wordWrap/>
        <w:overflowPunct/>
        <w:topLinePunct w:val="0"/>
        <w:autoSpaceDE/>
        <w:autoSpaceDN/>
        <w:bidi w:val="0"/>
        <w:adjustRightInd/>
        <w:snapToGrid/>
        <w:spacing w:before="0" w:after="0" w:line="560" w:lineRule="exact"/>
        <w:ind w:left="0" w:firstLine="562" w:firstLineChars="201"/>
        <w:textAlignment w:val="auto"/>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年一般公共预算项目支出情况说明</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年学前教育幼儿资助-县级配套资金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预算安排规模：5.08万元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资金分配情况：用于培训费0.30万元、取暖费0.74万元、电费1.44万元、邮电费1.70万元、办公费0.90万元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（二）项目名称：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年城乡义务教育生均公用经费-小学县级配套资金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预算安排规模：3.92万元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资金分配情况：用于取暖费0.75万元、办公费3.17万元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（三）项目名称：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年义务教育阶段特殊教育学校和随班就读残疾学生生均公用经费县级配套资金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预算安排规模：0.25万元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w:t>
      </w:r>
      <w:r>
        <w:rPr>
          <w:rFonts w:hint="eastAsia" w:ascii="仿宋" w:hAnsi="微软雅黑" w:eastAsia="仿宋"/>
          <w:color w:val="auto"/>
          <w:sz w:val="28"/>
          <w:szCs w:val="28"/>
          <w:highlight w:val="none"/>
        </w:rPr>
        <w:t>用于电费0.25万元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（四）项目名称：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年家庭经济困难学生生活补助-小学寄宿生县级配套资金</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预算安排规模：0.86万元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bookmarkStart w:id="1" w:name="OLE_LINK2"/>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寄宿生伙食费0.86 万元</w:t>
      </w:r>
      <w:bookmarkEnd w:id="1"/>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（五）项目名称：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年家庭经济困难学生生活补助-小学非寄宿生县级配套资金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预算安排规模：0.70万元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寄宿生伙食费0.</w:t>
      </w:r>
      <w:r>
        <w:rPr>
          <w:rFonts w:hint="eastAsia" w:ascii="仿宋" w:hAnsi="微软雅黑" w:eastAsia="仿宋"/>
          <w:color w:val="auto"/>
          <w:sz w:val="28"/>
          <w:szCs w:val="28"/>
          <w:highlight w:val="none"/>
          <w:lang w:val="en-US" w:eastAsia="zh-CN"/>
        </w:rPr>
        <w:t>70</w:t>
      </w:r>
      <w:r>
        <w:rPr>
          <w:rFonts w:hint="eastAsia" w:ascii="仿宋" w:hAnsi="微软雅黑" w:eastAsia="仿宋"/>
          <w:color w:val="auto"/>
          <w:sz w:val="28"/>
          <w:szCs w:val="28"/>
          <w:highlight w:val="none"/>
        </w:rPr>
        <w:t xml:space="preserve"> 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（六）项目名称：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年城乡义务教育-小学取暖费-县级配套资金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预算安排规模：54.98万元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w:t>
      </w:r>
      <w:r>
        <w:rPr>
          <w:rFonts w:hint="eastAsia" w:ascii="仿宋" w:hAnsi="微软雅黑" w:eastAsia="仿宋"/>
          <w:color w:val="auto"/>
          <w:sz w:val="28"/>
          <w:szCs w:val="28"/>
          <w:highlight w:val="none"/>
        </w:rPr>
        <w:t>用于公用取暖 54.98万元。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（七）项目名称：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年学前教育取暖费县级配套资金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预算安排规模：3.66万元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学前取暖经费3.66万元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（八）项目名称：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年城乡义务教育转移支付县级配套资金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预算安排规模：7.80万元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资金分配情况：用于维修费3.71万元、电费1.84万元、邮电费1.00万元、专用材料费1.25万元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（九）项目名称：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年学前教育幼儿资助-幼儿伙食补助县级配套资金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预算安排规模：5.79万元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学前伙食费5.79万元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年中央城乡义务教育补助经费预算-特教</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年中央城乡义务教育补助经费预算-特教</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预算安排规模：1.55万元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资金分配情况：用于电费1.11万元、邮电费0.44万元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（一十一）项目名称：塔地财教〔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年中央城乡义务教育补助经费预算-小学公用经费</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年中央城乡义务教育补助经费预算-小学公用经费</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预算安排规模：24.07万元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资金分配情况：用于维修费6.71万元、电费2.94万元、邮电费2.00万元、其他商品服务支出0.23万元、培训费2.70万元、物业管理费0.77万元、办公费4.09万元、取暖费4.6</w:t>
      </w:r>
      <w:r>
        <w:rPr>
          <w:rFonts w:hint="eastAsia" w:ascii="仿宋" w:hAnsi="微软雅黑" w:eastAsia="仿宋"/>
          <w:color w:val="auto"/>
          <w:sz w:val="28"/>
          <w:szCs w:val="28"/>
          <w:highlight w:val="none"/>
          <w:lang w:val="en-US" w:eastAsia="zh-CN"/>
        </w:rPr>
        <w:t>3</w:t>
      </w:r>
      <w:r>
        <w:rPr>
          <w:rFonts w:hint="eastAsia" w:ascii="仿宋" w:hAnsi="微软雅黑" w:eastAsia="仿宋"/>
          <w:color w:val="auto"/>
          <w:sz w:val="28"/>
          <w:szCs w:val="28"/>
          <w:highlight w:val="none"/>
        </w:rPr>
        <w:t>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（一十二）项目名称：塔地财教〔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年中央城乡义务教育补助经费预算-小学寄宿生家庭经济困难学生生活补助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年中央城乡义务教育补助经费预算-小学寄宿生家庭经济困难学生生活补助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预算安排规模：0.51万元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伙食补助0.51万元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（一十三）项目名称：塔地财教〔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年中央城乡义务教育补助经费预算-小学非寄宿生家庭经济困难学生生活补助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〕74号提前下达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年中央城乡义务教育补助经费预算-小学非寄宿生家庭经济困难学生生活补助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预算安排规模：3.50万元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资金分配情况：受助学生一共112人，补贴标准：312.5</w:t>
      </w:r>
      <w:r>
        <w:rPr>
          <w:rFonts w:hint="eastAsia" w:ascii="仿宋" w:hAnsi="微软雅黑" w:eastAsia="仿宋"/>
          <w:color w:val="auto"/>
          <w:sz w:val="28"/>
          <w:szCs w:val="28"/>
          <w:highlight w:val="none"/>
          <w:lang w:val="en-US" w:eastAsia="zh-CN"/>
        </w:rPr>
        <w:t>0</w:t>
      </w:r>
      <w:r>
        <w:rPr>
          <w:rFonts w:hint="eastAsia" w:ascii="仿宋" w:hAnsi="微软雅黑" w:eastAsia="仿宋"/>
          <w:color w:val="auto"/>
          <w:sz w:val="28"/>
          <w:szCs w:val="28"/>
          <w:highlight w:val="none"/>
        </w:rPr>
        <w:t>元/人/学期，共发放助学金3.5万元。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资金来源：上级补助资金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补贴人数：受助人数 112 人</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补贴标准：312.5</w:t>
      </w:r>
      <w:r>
        <w:rPr>
          <w:rFonts w:hint="eastAsia" w:ascii="仿宋" w:hAnsi="微软雅黑" w:eastAsia="仿宋"/>
          <w:color w:val="auto"/>
          <w:sz w:val="28"/>
          <w:szCs w:val="28"/>
          <w:highlight w:val="none"/>
          <w:lang w:val="en-US" w:eastAsia="zh-CN"/>
        </w:rPr>
        <w:t>0</w:t>
      </w:r>
      <w:r>
        <w:rPr>
          <w:rFonts w:hint="eastAsia" w:ascii="仿宋" w:hAnsi="微软雅黑" w:eastAsia="仿宋"/>
          <w:color w:val="auto"/>
          <w:sz w:val="28"/>
          <w:szCs w:val="28"/>
          <w:highlight w:val="none"/>
        </w:rPr>
        <w:t xml:space="preserve"> 元/生/学期</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补贴范围：义务教育贫困学生</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补贴方式：通过惠农惠民一卡通系统直接发放至学生银行卡内</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发放程序：通过学校三级审核评选后确定，报上级主管部门审批，经财务进行发放。</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受益人群和社会效益：家庭经济困难学生，提高学生学习及生活质量。</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（一十四）项目名称：塔地财教〔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〕78号提前下达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年新疆西藏等地区教育特殊补助资金-农村学前三年免费教育幼儿伙食补助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〕78号提前下达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年新疆西藏等地区教育特殊补助资金-农村学前三年免费教育幼儿伙食补助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预算安排规模：3.10万元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全部用于</w:t>
      </w:r>
      <w:r>
        <w:rPr>
          <w:rFonts w:hint="eastAsia" w:ascii="仿宋" w:hAnsi="微软雅黑" w:eastAsia="仿宋"/>
          <w:color w:val="auto"/>
          <w:sz w:val="28"/>
          <w:szCs w:val="28"/>
          <w:highlight w:val="none"/>
        </w:rPr>
        <w:t>幼儿伙食3.10万元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（一十五）项目名称：塔地财教〔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〕78号提前下达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年新疆西藏等地区教育特殊补助资金-农村学前三年免费教育保障机制经费</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〕78号提前下达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年新疆西藏等地区教育特殊补助资金-农村学前三年免费教育保障机制经费</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预算安排规模：3.94万元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资金分配情况：用于手续费0.05万元、电费1.00万元、邮电费2.29万元、培训费0.60万元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（一十六）项目名称：塔地财教〔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年自治区城乡义务教育补助经费预算-小学非寄宿生家庭经济困难学生补助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年自治区城乡义务教育补助经费预算-小学非寄宿生家庭经济困难学生补助</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预算安排规模：1.94万元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资金分配情况：受助学生一共112人，补贴标准：312.5</w:t>
      </w:r>
      <w:r>
        <w:rPr>
          <w:rFonts w:hint="eastAsia" w:ascii="仿宋" w:hAnsi="微软雅黑" w:eastAsia="仿宋"/>
          <w:color w:val="auto"/>
          <w:sz w:val="28"/>
          <w:szCs w:val="28"/>
          <w:highlight w:val="none"/>
          <w:lang w:val="en-US" w:eastAsia="zh-CN"/>
        </w:rPr>
        <w:t>0</w:t>
      </w:r>
      <w:r>
        <w:rPr>
          <w:rFonts w:hint="eastAsia" w:ascii="仿宋" w:hAnsi="微软雅黑" w:eastAsia="仿宋"/>
          <w:color w:val="auto"/>
          <w:sz w:val="28"/>
          <w:szCs w:val="28"/>
          <w:highlight w:val="none"/>
        </w:rPr>
        <w:t>元/人/学期，共发放助学金</w:t>
      </w:r>
      <w:r>
        <w:rPr>
          <w:rFonts w:hint="eastAsia" w:ascii="仿宋" w:hAnsi="微软雅黑" w:eastAsia="仿宋"/>
          <w:color w:val="auto"/>
          <w:sz w:val="28"/>
          <w:szCs w:val="28"/>
          <w:highlight w:val="none"/>
          <w:lang w:val="en-US" w:eastAsia="zh-CN"/>
        </w:rPr>
        <w:t>1.94</w:t>
      </w:r>
      <w:r>
        <w:rPr>
          <w:rFonts w:hint="eastAsia" w:ascii="仿宋" w:hAnsi="微软雅黑" w:eastAsia="仿宋"/>
          <w:color w:val="auto"/>
          <w:sz w:val="28"/>
          <w:szCs w:val="28"/>
          <w:highlight w:val="none"/>
        </w:rPr>
        <w:t>万元。</w:t>
      </w:r>
    </w:p>
    <w:p>
      <w:pPr>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资金来源：上级补助资金</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补贴人数：受助人数112人</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补贴标准：312.5</w:t>
      </w:r>
      <w:r>
        <w:rPr>
          <w:rFonts w:hint="eastAsia" w:ascii="仿宋" w:hAnsi="微软雅黑" w:eastAsia="仿宋"/>
          <w:color w:val="auto"/>
          <w:sz w:val="28"/>
          <w:szCs w:val="28"/>
          <w:highlight w:val="none"/>
          <w:lang w:val="en-US" w:eastAsia="zh-CN"/>
        </w:rPr>
        <w:t>0</w:t>
      </w:r>
      <w:r>
        <w:rPr>
          <w:rFonts w:hint="eastAsia" w:ascii="仿宋" w:hAnsi="微软雅黑" w:eastAsia="仿宋"/>
          <w:color w:val="auto"/>
          <w:sz w:val="28"/>
          <w:szCs w:val="28"/>
          <w:highlight w:val="none"/>
        </w:rPr>
        <w:t xml:space="preserve"> 元/生/学期</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补贴范围：义务教育贫困学生</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补贴方式：通过惠农惠民一卡通系统直接发放至学生银行卡内。</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发放程序：通过学校三级审核评选后确定，报上级主管部门审批，经财务进行发放。</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受益人群和社会效益：家庭经济困难学生，提高学生学习及生活质量。</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（一十七）项目名称：塔地财教〔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年自治区城乡义务教育补助经费预算-特教</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年自治区城乡义务教育补助经费预算-特教</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预算安排规模：0.25万元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eastAsia="zh-CN"/>
        </w:rPr>
        <w:t>全部</w:t>
      </w:r>
      <w:r>
        <w:rPr>
          <w:rFonts w:hint="eastAsia" w:ascii="仿宋" w:hAnsi="微软雅黑" w:eastAsia="仿宋"/>
          <w:color w:val="auto"/>
          <w:sz w:val="28"/>
          <w:szCs w:val="28"/>
          <w:highlight w:val="none"/>
        </w:rPr>
        <w:t>用于办公费0.25万元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（一十八）项目名称：塔地财教〔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年自治区城乡义务教育补助经费预算-小学公用经费</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〕80号提前下达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年自治区城乡义务教育补助经费预算-小学公用经费</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预算安排规模：3.92万元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资金分配情况：用于电费0.02万元、取暖费0.75万元、物业管理费1.12万元、办公费2.03万元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（一十九）项目名称：塔地财教〔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〕85号提前下达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年自治区教育补助经费预算-自治区义务教育班主任津贴</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设立的政策依据：塔地财教〔</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〕85号提前下达</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年自治区教育补助经费预算-自治区义务教育班主任津贴</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预算安排规模：1.10万元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项目承担单位：额敏县上户镇寄宿制学校</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资金分配情况：受助班主任一共10人，补贴标准：1200元/人/年，共发放班主任津贴1.1万元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 月1日-</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 xml:space="preserve"> 年 12 月31日</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资金来源：自治区直达资金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补贴人数：班主任人数10人</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补贴标准：1200/人/年</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补贴范围：义务教育班主任</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补贴方式：通过银行代发，直接发放到享受班主任津贴的班主任银行卡内。</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发放程序：校委会评审无异后，报上级主管部门审批，送财务进行发放。</w:t>
      </w:r>
    </w:p>
    <w:p>
      <w:pPr>
        <w:widowControl/>
        <w:spacing w:line="560" w:lineRule="exact"/>
        <w:ind w:firstLine="560" w:firstLineChars="200"/>
        <w:rPr>
          <w:rFonts w:ascii="仿宋" w:hAnsi="微软雅黑" w:eastAsia="仿宋"/>
          <w:color w:val="auto"/>
          <w:sz w:val="28"/>
          <w:szCs w:val="28"/>
          <w:highlight w:val="none"/>
        </w:rPr>
      </w:pPr>
      <w:bookmarkStart w:id="2" w:name="OLE_LINK1"/>
      <w:r>
        <w:rPr>
          <w:rFonts w:hint="eastAsia" w:ascii="仿宋" w:hAnsi="微软雅黑" w:eastAsia="仿宋"/>
          <w:color w:val="auto"/>
          <w:sz w:val="28"/>
          <w:szCs w:val="28"/>
          <w:highlight w:val="none"/>
        </w:rPr>
        <w:t>受益人群和社会效益：</w:t>
      </w:r>
      <w:bookmarkEnd w:id="2"/>
      <w:r>
        <w:rPr>
          <w:rFonts w:hint="eastAsia" w:ascii="仿宋" w:hAnsi="微软雅黑" w:eastAsia="仿宋"/>
          <w:color w:val="auto"/>
          <w:sz w:val="28"/>
          <w:szCs w:val="28"/>
          <w:highlight w:val="none"/>
          <w:lang w:val="en-US" w:eastAsia="zh-CN"/>
        </w:rPr>
        <w:t>班主任，</w:t>
      </w:r>
      <w:r>
        <w:rPr>
          <w:rFonts w:hint="eastAsia" w:ascii="仿宋" w:hAnsi="微软雅黑" w:eastAsia="仿宋"/>
          <w:color w:val="auto"/>
          <w:sz w:val="28"/>
          <w:szCs w:val="28"/>
          <w:highlight w:val="none"/>
        </w:rPr>
        <w:t>提高班主任工作积极性</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年政府性基金预算拨款情况说明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年国有资本经营预算拨款情况说明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年财政拨款“三公”经费预算情况说明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年财政拨款“三公”经费预算比上年预算增加0.00万元，增长0.00%，其中：因公出国（境）费增加0.00万元，增长0.00%，主要原因是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年均未安排因公出国（境）费用</w:t>
      </w:r>
      <w:r>
        <w:rPr>
          <w:rFonts w:hint="eastAsia" w:ascii="仿宋" w:hAnsi="微软雅黑" w:eastAsia="仿宋"/>
          <w:color w:val="auto"/>
          <w:sz w:val="28"/>
          <w:szCs w:val="28"/>
          <w:highlight w:val="none"/>
          <w:lang w:eastAsia="zh-CN"/>
        </w:rPr>
        <w:t>预算</w:t>
      </w:r>
      <w:r>
        <w:rPr>
          <w:rFonts w:hint="eastAsia" w:ascii="仿宋" w:hAnsi="微软雅黑" w:eastAsia="仿宋"/>
          <w:color w:val="auto"/>
          <w:sz w:val="28"/>
          <w:szCs w:val="28"/>
          <w:highlight w:val="none"/>
        </w:rPr>
        <w:t>；公务用车购置费增加0.00万元，增长0.00%，主要原因是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w:t>
      </w:r>
      <w:r>
        <w:rPr>
          <w:rFonts w:hint="eastAsia" w:ascii="仿宋" w:hAnsi="微软雅黑" w:eastAsia="仿宋"/>
          <w:color w:val="auto"/>
          <w:sz w:val="28"/>
          <w:szCs w:val="28"/>
          <w:highlight w:val="none"/>
          <w:lang w:eastAsia="zh-CN"/>
        </w:rPr>
        <w:t>公务用车购置费预算；</w:t>
      </w:r>
      <w:r>
        <w:rPr>
          <w:rFonts w:hint="eastAsia" w:ascii="仿宋" w:hAnsi="微软雅黑" w:eastAsia="仿宋"/>
          <w:color w:val="auto"/>
          <w:sz w:val="28"/>
          <w:szCs w:val="28"/>
          <w:highlight w:val="none"/>
        </w:rPr>
        <w:t>公务用车运行费增加0.00万元，增长0.00%，主要原因是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年均未安排公务用车运行维护费</w:t>
      </w:r>
      <w:r>
        <w:rPr>
          <w:rFonts w:hint="eastAsia" w:ascii="仿宋" w:hAnsi="微软雅黑" w:eastAsia="仿宋"/>
          <w:color w:val="auto"/>
          <w:sz w:val="28"/>
          <w:szCs w:val="28"/>
          <w:highlight w:val="none"/>
          <w:lang w:eastAsia="zh-CN"/>
        </w:rPr>
        <w:t>预算</w:t>
      </w:r>
      <w:r>
        <w:rPr>
          <w:rFonts w:hint="eastAsia" w:ascii="仿宋" w:hAnsi="微软雅黑" w:eastAsia="仿宋"/>
          <w:color w:val="auto"/>
          <w:sz w:val="28"/>
          <w:szCs w:val="28"/>
          <w:highlight w:val="none"/>
        </w:rPr>
        <w:t>；公务接待费增加0.00万元，增长0.00%，主要原因是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年均未安排公务接待费</w:t>
      </w:r>
      <w:r>
        <w:rPr>
          <w:rFonts w:hint="eastAsia" w:ascii="仿宋" w:hAnsi="微软雅黑" w:eastAsia="仿宋"/>
          <w:color w:val="auto"/>
          <w:sz w:val="28"/>
          <w:szCs w:val="28"/>
          <w:highlight w:val="none"/>
          <w:lang w:eastAsia="zh-CN"/>
        </w:rPr>
        <w:t>预算</w:t>
      </w:r>
      <w:r>
        <w:rPr>
          <w:rFonts w:hint="eastAsia" w:ascii="仿宋" w:hAnsi="微软雅黑" w:eastAsia="仿宋"/>
          <w:color w:val="auto"/>
          <w:sz w:val="28"/>
          <w:szCs w:val="28"/>
          <w:highlight w:val="none"/>
        </w:rPr>
        <w:t>。</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关于额敏县上户镇寄宿制学校</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年上年结转结余预算情况说明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年上年结转结余1.41万元，包括：财政拨款1.41万元，非财政拨款0.00万元，其中：</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1．塔地财教〔2023〕106号提前下达</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年城乡义务教育补助经费预算〔自治区直达资金〕-小学家庭经济困难补助1.16万元，主要用于：非寄宿生生活补助。</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2．塔地财教〔2023〕108号提前下达</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年城乡义务教育补助经费预算（中央直达资金）-综合奖补（小学家庭经济困难学生生活补助）0.25万元，主要用于：非寄宿生生活补助。</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其他重要事项的情况说明</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hint="eastAsia" w:ascii="楷体" w:eastAsia="楷体"/>
          <w:color w:val="auto"/>
          <w:sz w:val="28"/>
          <w:szCs w:val="28"/>
          <w:highlight w:val="none"/>
        </w:rPr>
        <w:t>单位运行经费情况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额敏县上户镇寄宿制学校</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年的事业单位运行经费财政拨款预算45.78万元，比上年预算减少4.67万元，下降9.26%，主要原因是</w:t>
      </w:r>
      <w:r>
        <w:rPr>
          <w:rFonts w:hint="eastAsia" w:ascii="仿宋" w:hAnsi="微软雅黑" w:eastAsia="仿宋"/>
          <w:color w:val="auto"/>
          <w:sz w:val="28"/>
          <w:szCs w:val="28"/>
          <w:highlight w:val="none"/>
          <w:lang w:val="en-US" w:eastAsia="zh-CN"/>
        </w:rPr>
        <w:t>在职人数减少，</w:t>
      </w:r>
      <w:r>
        <w:rPr>
          <w:rFonts w:hint="eastAsia" w:ascii="仿宋" w:hAnsi="微软雅黑" w:eastAsia="仿宋"/>
          <w:sz w:val="28"/>
          <w:szCs w:val="28"/>
        </w:rPr>
        <w:t>相应机关运行经费减少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预算数较上年</w:t>
      </w:r>
      <w:r>
        <w:rPr>
          <w:rFonts w:hint="eastAsia" w:ascii="仿宋" w:hAnsi="微软雅黑" w:eastAsia="仿宋"/>
          <w:sz w:val="28"/>
          <w:szCs w:val="28"/>
        </w:rPr>
        <w:t>减少。</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hint="eastAsia" w:ascii="楷体" w:eastAsia="楷体"/>
          <w:color w:val="auto"/>
          <w:sz w:val="28"/>
          <w:szCs w:val="28"/>
          <w:highlight w:val="none"/>
        </w:rPr>
        <w:t>政府采购情况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年，额敏县上户镇寄宿制学校政府采购预算134.71万元，其中：政府采购货物预算51.53万元，政府采购工程预算0.00万元，政府采购服务预算83.18万元。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年，额敏县上户镇寄宿制学校面向中小企业预留政府采购项目预算金额134.71万元，小微企业预留政府采购项目预算金额134.71万元。</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国有资产占用使用情况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截至</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年底，额敏县上户镇寄宿制学校占用使用国有资产总体情况为：</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1.房屋13,910.51平方米，价值22,663.54万元。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2.车辆0辆，价值0.00万元；其中：一般公务用车0辆，价值0.00万元；执法执勤用车0辆，价值0.00万元；其他车辆0辆，价值0.00万元。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3.办公家具价值132.25万元。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4.其他资产价值581.55万元。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部门价值50万元以上大型设备0台，部门价值100万元以上大型设备0台。</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预算绩效情况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年，本部门预算绩效管理整体预算绩效目标1个，涉及预算金额2,669.6</w:t>
      </w:r>
      <w:r>
        <w:rPr>
          <w:rFonts w:hint="eastAsia" w:ascii="仿宋" w:hAnsi="微软雅黑" w:eastAsia="仿宋"/>
          <w:color w:val="auto"/>
          <w:sz w:val="28"/>
          <w:szCs w:val="28"/>
          <w:highlight w:val="none"/>
          <w:lang w:val="en-US" w:eastAsia="zh-CN"/>
        </w:rPr>
        <w:t>8</w:t>
      </w:r>
      <w:r>
        <w:rPr>
          <w:rFonts w:hint="eastAsia" w:ascii="仿宋" w:hAnsi="微软雅黑" w:eastAsia="仿宋"/>
          <w:color w:val="auto"/>
          <w:sz w:val="28"/>
          <w:szCs w:val="28"/>
          <w:highlight w:val="none"/>
        </w:rPr>
        <w:t>万元；当年预算安排项目共</w:t>
      </w:r>
      <w:r>
        <w:rPr>
          <w:rFonts w:hint="eastAsia" w:ascii="仿宋" w:hAnsi="微软雅黑" w:eastAsia="仿宋"/>
          <w:color w:val="auto"/>
          <w:sz w:val="28"/>
          <w:szCs w:val="28"/>
          <w:highlight w:val="none"/>
          <w:lang w:val="en-US" w:eastAsia="zh-CN"/>
        </w:rPr>
        <w:t>6</w:t>
      </w:r>
      <w:r>
        <w:rPr>
          <w:rFonts w:hint="eastAsia" w:ascii="仿宋" w:hAnsi="微软雅黑" w:eastAsia="仿宋"/>
          <w:color w:val="auto"/>
          <w:sz w:val="28"/>
          <w:szCs w:val="28"/>
          <w:highlight w:val="none"/>
        </w:rPr>
        <w:t>个，其中：财政拨款项目涉及预算金额126.93万元；非财政拨款项目涉及预算金额16.26万元。具体情况见下表：</w:t>
      </w: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部门整体绩效目标表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部门名称（盖章）</w:t>
            </w:r>
          </w:p>
        </w:tc>
        <w:tc>
          <w:tcPr>
            <w:tcW w:w="6578"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部门联系人</w:t>
            </w:r>
          </w:p>
        </w:tc>
        <w:tc>
          <w:tcPr>
            <w:tcW w:w="2498" w:type="dxa"/>
            <w:gridSpan w:val="2"/>
            <w:shd w:val="clear" w:color="auto" w:fill="auto"/>
            <w:vAlign w:val="center"/>
          </w:tcPr>
          <w:p>
            <w:pPr>
              <w:jc w:val="center"/>
              <w:rPr>
                <w:b/>
                <w:color w:val="auto"/>
                <w:sz w:val="18"/>
                <w:szCs w:val="18"/>
                <w:highlight w:val="none"/>
              </w:rPr>
            </w:pPr>
            <w:r>
              <w:rPr>
                <w:rFonts w:hint="eastAsia"/>
                <w:color w:val="auto"/>
                <w:sz w:val="18"/>
                <w:szCs w:val="18"/>
                <w:highlight w:val="none"/>
              </w:rPr>
              <w:t>热哈玛·卡汗</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联系电话</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13319750213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年度绩效目标</w:t>
            </w:r>
          </w:p>
        </w:tc>
        <w:tc>
          <w:tcPr>
            <w:tcW w:w="6578" w:type="dxa"/>
            <w:gridSpan w:val="5"/>
            <w:shd w:val="clear" w:color="auto" w:fill="auto"/>
            <w:vAlign w:val="center"/>
          </w:tcPr>
          <w:p>
            <w:pPr>
              <w:rPr>
                <w:rFonts w:hint="eastAsia" w:eastAsia="宋体"/>
                <w:b/>
                <w:color w:val="auto"/>
                <w:sz w:val="18"/>
                <w:szCs w:val="18"/>
                <w:highlight w:val="none"/>
                <w:lang w:eastAsia="zh-CN"/>
              </w:rPr>
            </w:pPr>
            <w:r>
              <w:rPr>
                <w:rFonts w:hint="eastAsia"/>
                <w:color w:val="auto"/>
                <w:sz w:val="18"/>
                <w:szCs w:val="18"/>
                <w:highlight w:val="none"/>
              </w:rPr>
              <w:t>我</w:t>
            </w:r>
            <w:r>
              <w:rPr>
                <w:rFonts w:hint="eastAsia"/>
                <w:color w:val="auto"/>
                <w:sz w:val="18"/>
                <w:szCs w:val="18"/>
                <w:highlight w:val="none"/>
                <w:lang w:val="en-US" w:eastAsia="zh-CN"/>
              </w:rPr>
              <w:t>部门</w:t>
            </w:r>
            <w:r>
              <w:rPr>
                <w:rFonts w:hint="eastAsia"/>
                <w:color w:val="auto"/>
                <w:sz w:val="18"/>
                <w:szCs w:val="18"/>
                <w:highlight w:val="none"/>
              </w:rPr>
              <w:t>充分发挥教育经费保障教育发展，保障适龄儿童少年接受教育的权力和广大师生合法权益。从教育质量提升，校园安全保障，师资队伍建设，确保目标明确，全面提升学生的知识水平与综合能力，加强校园设施建设与管理视频监控覆盖，为师生营造安全的学习与生活环境，巩固学前，小学教学入学达到乡镇全覆盖，并且年度考核合格率达到100%，一切以学生的利益出发，为学前及小学学生购买保险全覆盖，保障我校108名学生享受资助补助政策。义务教育上综合考虑学生发展，教学质量，师资建设，家校合作多方面，从提升学生成绩，优化教学方面，加强教师培训等</w:t>
            </w:r>
            <w:r>
              <w:rPr>
                <w:rFonts w:hint="eastAsia"/>
                <w:color w:val="auto"/>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color w:val="auto"/>
                <w:sz w:val="18"/>
                <w:szCs w:val="18"/>
                <w:highlight w:val="none"/>
              </w:rPr>
            </w:pPr>
            <w:r>
              <w:rPr>
                <w:rFonts w:hint="eastAsia"/>
                <w:b/>
                <w:color w:val="auto"/>
                <w:sz w:val="18"/>
                <w:szCs w:val="18"/>
                <w:highlight w:val="none"/>
              </w:rPr>
              <w:t>年度预算(万元)</w:t>
            </w:r>
          </w:p>
        </w:tc>
        <w:tc>
          <w:tcPr>
            <w:tcW w:w="385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资金来源</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vMerge w:val="restart"/>
            <w:shd w:val="clear" w:color="auto" w:fill="auto"/>
            <w:vAlign w:val="center"/>
          </w:tcPr>
          <w:p>
            <w:pPr>
              <w:jc w:val="center"/>
              <w:rPr>
                <w:rFonts w:hint="eastAsia"/>
                <w:color w:val="auto"/>
                <w:sz w:val="18"/>
                <w:szCs w:val="18"/>
                <w:highlight w:val="none"/>
              </w:rPr>
            </w:pPr>
            <w:r>
              <w:rPr>
                <w:rFonts w:hint="eastAsia"/>
                <w:color w:val="auto"/>
                <w:sz w:val="18"/>
                <w:szCs w:val="18"/>
                <w:highlight w:val="none"/>
              </w:rPr>
              <w:t>财政资金（万元）</w:t>
            </w: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上级安排</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45.28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vMerge w:val="continue"/>
            <w:shd w:val="clear" w:color="auto" w:fill="auto"/>
            <w:vAlign w:val="center"/>
          </w:tcPr>
          <w:p>
            <w:pPr>
              <w:jc w:val="center"/>
              <w:rPr>
                <w:rFonts w:hint="eastAsia"/>
                <w:color w:val="auto"/>
                <w:sz w:val="18"/>
                <w:szCs w:val="18"/>
                <w:highlight w:val="none"/>
              </w:rPr>
            </w:pP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本级安排</w:t>
            </w:r>
          </w:p>
        </w:tc>
        <w:tc>
          <w:tcPr>
            <w:tcW w:w="2720" w:type="dxa"/>
            <w:gridSpan w:val="2"/>
            <w:shd w:val="clear" w:color="auto" w:fill="auto"/>
            <w:vAlign w:val="center"/>
          </w:tcPr>
          <w:p>
            <w:pPr>
              <w:jc w:val="center"/>
              <w:rPr>
                <w:rFonts w:hint="eastAsia" w:eastAsia="宋体"/>
                <w:color w:val="auto"/>
                <w:sz w:val="18"/>
                <w:szCs w:val="18"/>
                <w:highlight w:val="none"/>
                <w:lang w:val="en-US" w:eastAsia="zh-CN"/>
              </w:rPr>
            </w:pPr>
            <w:r>
              <w:rPr>
                <w:rFonts w:hint="eastAsia"/>
                <w:color w:val="auto"/>
                <w:sz w:val="18"/>
                <w:szCs w:val="18"/>
                <w:highlight w:val="none"/>
              </w:rPr>
              <w:t>2,608.1</w:t>
            </w:r>
            <w:r>
              <w:rPr>
                <w:rFonts w:hint="eastAsia"/>
                <w:color w:val="auto"/>
                <w:sz w:val="18"/>
                <w:szCs w:val="1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其他资金（万元）</w:t>
            </w: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其他</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1559"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410" w:type="dxa"/>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1448"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指标设定依据</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履职效能</w:t>
            </w: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巩固学前，小学教学入学率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年学校工作计划</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学生享受资助覆盖率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上级学生资助文件依据</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巩固学前，小学教学入学率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年学校工作计划</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为学前，小学学生购买保险覆盖率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年学校工作计划</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学校享受资助补助政策学生数</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＞=108人</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上级学生资助文件依据</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年县级配套资金</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83.05</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83.05</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继续巩固完善农村学前免费教育经费保障长效机制，保障全县农村适龄幼儿接受学前三年免费教育。全面普及农村学前三年免费教育，规范额敏县农村学前教育保障机制经费管理，落实幼儿伙食费。通过项目资金的投入，有效提升幼儿膳食质量，保障幼儿健康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学前经费享受学生人数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＞=62人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104人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小学经费享受学生人数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＞=295人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429人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农村学前国语教育覆盖率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资金支付及时率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hint="eastAsia" w:ascii="宋体" w:hAnsi="宋体"/>
                <w:color w:val="auto"/>
                <w:sz w:val="16"/>
                <w:szCs w:val="16"/>
                <w:highlight w:val="none"/>
                <w:lang w:eastAsia="zh-CN"/>
              </w:rPr>
              <w:t>2025</w:t>
            </w:r>
            <w:r>
              <w:rPr>
                <w:rFonts w:ascii="宋体" w:hAnsi="宋体"/>
                <w:color w:val="auto"/>
                <w:sz w:val="16"/>
                <w:szCs w:val="16"/>
                <w:highlight w:val="none"/>
              </w:rPr>
              <w:t>年</w:t>
            </w:r>
            <w:r>
              <w:rPr>
                <w:rFonts w:hint="eastAsia" w:ascii="宋体" w:hAnsi="宋体"/>
                <w:color w:val="auto"/>
                <w:sz w:val="16"/>
                <w:szCs w:val="16"/>
                <w:highlight w:val="none"/>
                <w:lang w:eastAsia="zh-CN"/>
              </w:rPr>
              <w:t>12月15日</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生均伙食补助成本</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＜=1450元/生/年</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小学经费成本</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＜=3.91万元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default" w:ascii="宋体" w:hAnsi="宋体" w:eastAsia="宋体"/>
                <w:color w:val="auto"/>
                <w:sz w:val="16"/>
                <w:szCs w:val="16"/>
                <w:highlight w:val="none"/>
                <w:lang w:val="en-US" w:eastAsia="zh-CN"/>
              </w:rPr>
            </w:pPr>
            <w:r>
              <w:rPr>
                <w:rFonts w:hint="eastAsia" w:ascii="宋体" w:hAnsi="宋体"/>
                <w:color w:val="auto"/>
                <w:sz w:val="16"/>
                <w:szCs w:val="16"/>
                <w:highlight w:val="none"/>
                <w:lang w:val="en-US" w:eastAsia="zh-CN"/>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学前经费成本</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＜=5.08万元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eastAsia="宋体"/>
                <w:color w:val="auto"/>
                <w:sz w:val="16"/>
                <w:szCs w:val="16"/>
                <w:highlight w:val="none"/>
                <w:lang w:eastAsia="zh-CN"/>
              </w:rPr>
            </w:pPr>
            <w:r>
              <w:rPr>
                <w:rFonts w:hint="eastAsia" w:ascii="宋体" w:hAnsi="宋体"/>
                <w:color w:val="auto"/>
                <w:sz w:val="16"/>
                <w:szCs w:val="16"/>
                <w:highlight w:val="none"/>
                <w:lang w:val="en-US" w:eastAsia="zh-CN"/>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保障适龄幼儿接受学前免费教育</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不断加强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不断加强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家长满意度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学生满意度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年自治区教育补助经费预算-自治区义务教育班主任津贴</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1.10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1.10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为了切实做好班级管理工作，进一步改善班主任待遇，促进班主任工作的积极性，对班主任工作付出的辛勤劳动</w:t>
            </w:r>
            <w:r>
              <w:rPr>
                <w:rFonts w:hint="eastAsia"/>
                <w:color w:val="auto"/>
                <w:sz w:val="18"/>
                <w:szCs w:val="18"/>
                <w:highlight w:val="none"/>
                <w:lang w:eastAsia="zh-CN"/>
              </w:rPr>
              <w:t>给予</w:t>
            </w:r>
            <w:r>
              <w:rPr>
                <w:rFonts w:hint="eastAsia"/>
                <w:color w:val="auto"/>
                <w:sz w:val="18"/>
                <w:szCs w:val="18"/>
                <w:highlight w:val="none"/>
              </w:rPr>
              <w:t>奖励，根据上级文件精神，结合学校的教育教学实际，按学期发放班主任津贴。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补助班主任人数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补助月数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=10个月</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补助覆盖率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补助标准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=1200元/班</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班主任津贴发放金额</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＜=1.10万元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1.1</w:t>
            </w:r>
            <w:r>
              <w:rPr>
                <w:rFonts w:hint="eastAsia" w:ascii="宋体" w:hAnsi="宋体"/>
                <w:color w:val="auto"/>
                <w:sz w:val="16"/>
                <w:szCs w:val="16"/>
                <w:highlight w:val="none"/>
                <w:lang w:val="en-US" w:eastAsia="zh-CN"/>
              </w:rPr>
              <w:t>0</w:t>
            </w:r>
            <w:r>
              <w:rPr>
                <w:rFonts w:ascii="宋体" w:hAnsi="宋体"/>
                <w:color w:val="auto"/>
                <w:sz w:val="16"/>
                <w:szCs w:val="16"/>
                <w:highlight w:val="none"/>
              </w:rPr>
              <w:t>万元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提升乡村教师队伍素质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不断提高</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不断提高</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工作人员满意度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教科文股</w:t>
            </w:r>
            <w:r>
              <w:rPr>
                <w:rFonts w:hint="eastAsia"/>
                <w:color w:val="auto"/>
                <w:sz w:val="18"/>
                <w:szCs w:val="18"/>
                <w:highlight w:val="none"/>
                <w:lang w:eastAsia="zh-CN"/>
              </w:rPr>
              <w:t>2026</w:t>
            </w:r>
            <w:r>
              <w:rPr>
                <w:rFonts w:hint="eastAsia"/>
                <w:color w:val="auto"/>
                <w:sz w:val="18"/>
                <w:szCs w:val="18"/>
                <w:highlight w:val="none"/>
              </w:rPr>
              <w:t>年单位资金预算</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16.26</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0.00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16.26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深入贯彻党的二十大精神，宣传贯彻执行党和国家的教育方针、政策和法律法规及上级行政部门的行政规章的顺利宣传，完成相应的小学教育教学工作任务，使额敏县教育高质量发展更上新台阶。目标1：预计完成手续费的支出工作。目标2：预计完成生育津贴保障职工的合法权益。目标3：预计完成其他单位资金支出工作，保障单位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教师参加培训人次</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＞=45人次</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hint="eastAsia" w:ascii="宋体" w:hAnsi="宋体"/>
                <w:color w:val="auto"/>
                <w:sz w:val="16"/>
                <w:szCs w:val="16"/>
                <w:highlight w:val="none"/>
                <w:lang w:val="en-US" w:eastAsia="zh-CN"/>
              </w:rPr>
              <w:t>2</w:t>
            </w:r>
            <w:r>
              <w:rPr>
                <w:rFonts w:ascii="宋体" w:hAnsi="宋体"/>
                <w:color w:val="auto"/>
                <w:sz w:val="16"/>
                <w:szCs w:val="16"/>
                <w:highlight w:val="none"/>
              </w:rPr>
              <w:t>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单位资金支出覆盖率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＞=1次</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单位资金经费支出及时率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学生课后托管费</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全年学生课后托管费</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＜=11.76万元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推动教育高质量发展</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有效推动</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教职工满意度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塔地财教</w:t>
            </w:r>
            <w:r>
              <w:rPr>
                <w:rFonts w:hint="eastAsia"/>
                <w:color w:val="auto"/>
                <w:sz w:val="18"/>
                <w:szCs w:val="18"/>
                <w:highlight w:val="none"/>
                <w:lang w:eastAsia="zh-CN"/>
              </w:rPr>
              <w:t>〔2025〕</w:t>
            </w:r>
            <w:r>
              <w:rPr>
                <w:rFonts w:hint="eastAsia"/>
                <w:color w:val="auto"/>
                <w:sz w:val="18"/>
                <w:szCs w:val="18"/>
                <w:highlight w:val="none"/>
              </w:rPr>
              <w:t>74号提前下达</w:t>
            </w:r>
            <w:r>
              <w:rPr>
                <w:rFonts w:hint="eastAsia"/>
                <w:color w:val="auto"/>
                <w:sz w:val="18"/>
                <w:szCs w:val="18"/>
                <w:highlight w:val="none"/>
                <w:lang w:eastAsia="zh-CN"/>
              </w:rPr>
              <w:t>2026</w:t>
            </w:r>
            <w:r>
              <w:rPr>
                <w:rFonts w:hint="eastAsia"/>
                <w:color w:val="auto"/>
                <w:sz w:val="18"/>
                <w:szCs w:val="18"/>
                <w:highlight w:val="none"/>
              </w:rPr>
              <w:t>年中央城乡义务教育补助经费预算-特教、小学公用经费、小学寄宿生家庭经济困难学生生活补助、小学非寄宿生家庭经济困难学生生活补助</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rFonts w:hint="eastAsia" w:eastAsia="宋体"/>
                <w:color w:val="auto"/>
                <w:sz w:val="18"/>
                <w:szCs w:val="18"/>
                <w:highlight w:val="none"/>
                <w:lang w:eastAsia="zh-CN"/>
              </w:rPr>
            </w:pPr>
            <w:r>
              <w:rPr>
                <w:rFonts w:hint="eastAsia"/>
                <w:color w:val="auto"/>
                <w:sz w:val="18"/>
                <w:szCs w:val="18"/>
                <w:highlight w:val="none"/>
              </w:rPr>
              <w:t>29.6</w:t>
            </w:r>
            <w:r>
              <w:rPr>
                <w:rFonts w:hint="eastAsia"/>
                <w:color w:val="auto"/>
                <w:sz w:val="18"/>
                <w:szCs w:val="18"/>
                <w:highlight w:val="none"/>
                <w:lang w:val="en-US" w:eastAsia="zh-CN"/>
              </w:rPr>
              <w:t>3</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29.6</w:t>
            </w:r>
            <w:r>
              <w:rPr>
                <w:rFonts w:hint="eastAsia"/>
                <w:color w:val="auto"/>
                <w:sz w:val="18"/>
                <w:szCs w:val="18"/>
                <w:highlight w:val="none"/>
                <w:lang w:val="en-US" w:eastAsia="zh-CN"/>
              </w:rPr>
              <w:t>3</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牢固树立科学发展观，全面贯彻党的教育方针，追求科学有序管理，发挥管理与教研效能，强化教研的实效性，促使我校义务教育工作新跨越。以《纲要》的培养目标为指导，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校教育教学活动正常进行,完善学生资助政策体系,保障学生的就学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经费享受人数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＞=295人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429人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非寄宿生生活补助完成率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经费支出完成率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公用经费支出数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＜=26.12万元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24.71万元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非寄宿生生活补助费用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＜=3.50万元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7.53万元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提高教师教学素质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显著提升</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显著提升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教师满意度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塔地财教</w:t>
            </w:r>
            <w:r>
              <w:rPr>
                <w:rFonts w:hint="eastAsia"/>
                <w:color w:val="auto"/>
                <w:sz w:val="18"/>
                <w:szCs w:val="18"/>
                <w:highlight w:val="none"/>
                <w:lang w:eastAsia="zh-CN"/>
              </w:rPr>
              <w:t>〔2025〕</w:t>
            </w:r>
            <w:r>
              <w:rPr>
                <w:rFonts w:hint="eastAsia"/>
                <w:color w:val="auto"/>
                <w:sz w:val="18"/>
                <w:szCs w:val="18"/>
                <w:highlight w:val="none"/>
              </w:rPr>
              <w:t>78号提前下达</w:t>
            </w:r>
            <w:r>
              <w:rPr>
                <w:rFonts w:hint="eastAsia"/>
                <w:color w:val="auto"/>
                <w:sz w:val="18"/>
                <w:szCs w:val="18"/>
                <w:highlight w:val="none"/>
                <w:lang w:eastAsia="zh-CN"/>
              </w:rPr>
              <w:t>2026</w:t>
            </w:r>
            <w:r>
              <w:rPr>
                <w:rFonts w:hint="eastAsia"/>
                <w:color w:val="auto"/>
                <w:sz w:val="18"/>
                <w:szCs w:val="18"/>
                <w:highlight w:val="none"/>
              </w:rPr>
              <w:t>年新疆西藏等地区教育特殊补助资金-农村学前三年免费教育幼儿伙食补助，农村学前三年免费教育保障机制经费</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7.04</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7.04</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严格执行国库集中支付制度和政府采购制度等规定。资金支付按照国库集中支付制度有关规定和合同约定，综合考虑项目财政资金预算等因素执行，保障适龄幼儿接受学前三年免费教育。全面普及学前三年免费教育，规范学前教育保障机制经费管理，落实幼儿伙食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保障农村学前三年适龄幼儿人数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＞=62人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114人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经费支出完成率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经费按期支付及时率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学生伙食补助费用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＜=3.10万元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支付各项经费</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＜=3.91万元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预算支出标准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改善学生学习环境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提高教师教学素质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家长满意度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额敏县上户镇寄宿制学校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塔地财教</w:t>
            </w:r>
            <w:r>
              <w:rPr>
                <w:rFonts w:hint="eastAsia"/>
                <w:color w:val="auto"/>
                <w:sz w:val="18"/>
                <w:szCs w:val="18"/>
                <w:highlight w:val="none"/>
                <w:lang w:eastAsia="zh-CN"/>
              </w:rPr>
              <w:t>〔2025〕</w:t>
            </w:r>
            <w:r>
              <w:rPr>
                <w:rFonts w:hint="eastAsia"/>
                <w:color w:val="auto"/>
                <w:sz w:val="18"/>
                <w:szCs w:val="18"/>
                <w:highlight w:val="none"/>
              </w:rPr>
              <w:t>80号提前下达</w:t>
            </w:r>
            <w:r>
              <w:rPr>
                <w:rFonts w:hint="eastAsia"/>
                <w:color w:val="auto"/>
                <w:sz w:val="18"/>
                <w:szCs w:val="18"/>
                <w:highlight w:val="none"/>
                <w:lang w:eastAsia="zh-CN"/>
              </w:rPr>
              <w:t>2026</w:t>
            </w:r>
            <w:r>
              <w:rPr>
                <w:rFonts w:hint="eastAsia"/>
                <w:color w:val="auto"/>
                <w:sz w:val="18"/>
                <w:szCs w:val="18"/>
                <w:highlight w:val="none"/>
              </w:rPr>
              <w:t>年自治区城乡义务教育补助经费预算-特教、小学公用经费、小学非寄宿生家庭经济困难学生补助</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曹双梅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rFonts w:hint="eastAsia" w:eastAsia="宋体"/>
                <w:color w:val="auto"/>
                <w:sz w:val="18"/>
                <w:szCs w:val="18"/>
                <w:highlight w:val="none"/>
                <w:lang w:val="en-US" w:eastAsia="zh-CN"/>
              </w:rPr>
            </w:pPr>
            <w:r>
              <w:rPr>
                <w:rFonts w:hint="eastAsia"/>
                <w:color w:val="auto"/>
                <w:sz w:val="18"/>
                <w:szCs w:val="18"/>
                <w:highlight w:val="none"/>
              </w:rPr>
              <w:t>6.1</w:t>
            </w:r>
            <w:r>
              <w:rPr>
                <w:rFonts w:hint="eastAsia"/>
                <w:color w:val="auto"/>
                <w:sz w:val="18"/>
                <w:szCs w:val="18"/>
                <w:highlight w:val="none"/>
                <w:lang w:val="en-US" w:eastAsia="zh-CN"/>
              </w:rPr>
              <w:t>1</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rFonts w:hint="eastAsia" w:eastAsia="宋体"/>
                <w:color w:val="auto"/>
                <w:sz w:val="18"/>
                <w:szCs w:val="18"/>
                <w:highlight w:val="none"/>
                <w:lang w:val="en-US" w:eastAsia="zh-CN"/>
              </w:rPr>
            </w:pPr>
            <w:r>
              <w:rPr>
                <w:rFonts w:hint="eastAsia"/>
                <w:color w:val="auto"/>
                <w:sz w:val="18"/>
                <w:szCs w:val="18"/>
                <w:highlight w:val="none"/>
              </w:rPr>
              <w:t>6.1</w:t>
            </w:r>
            <w:r>
              <w:rPr>
                <w:rFonts w:hint="eastAsia"/>
                <w:color w:val="auto"/>
                <w:sz w:val="18"/>
                <w:szCs w:val="18"/>
                <w:highlight w:val="none"/>
                <w:lang w:val="en-US" w:eastAsia="zh-CN"/>
              </w:rPr>
              <w:t>1</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牢固树立科学发展观，全面贯彻党的教育方针，追求科学有序管理，发挥管理与教研效能，强化教研的实效性，促使我校义务教育工作新跨越。以《纲要》的培养目标为指导，以素质教育的思想和理论导向，更新教育观念，面向全体学生。深化农村义务教育保障机制改革，缩小城乡教育差距，促进教育公平和社会公正，科学合理配置义务教育资源，促进农村义务教育均衡发展构建社会主义和谐社会，满足学校教育教学活动正常进行,完善学生资助政策体系,保障学生的就学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经费享受人数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＞=294人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429人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非寄宿生生活补助完成率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经费</w:t>
            </w:r>
            <w:r>
              <w:rPr>
                <w:rFonts w:hint="eastAsia" w:ascii="宋体" w:hAnsi="宋体"/>
                <w:color w:val="auto"/>
                <w:sz w:val="16"/>
                <w:szCs w:val="16"/>
                <w:highlight w:val="none"/>
                <w:lang w:val="en-US" w:eastAsia="zh-CN"/>
              </w:rPr>
              <w:t>支出</w:t>
            </w:r>
            <w:r>
              <w:rPr>
                <w:rFonts w:ascii="宋体" w:hAnsi="宋体"/>
                <w:color w:val="auto"/>
                <w:sz w:val="16"/>
                <w:szCs w:val="16"/>
                <w:highlight w:val="none"/>
              </w:rPr>
              <w:t>完成率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公用经费支出数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＜=3.91万元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1.85万元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非寄宿生生活补助费用</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＜=1.93万元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家庭经济困难学生家庭负担</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有效减轻</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达成年度指标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改善学生学习环境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显著改善</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显著改善</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学生及家长满意度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eastAsia="宋体"/>
                <w:color w:val="auto"/>
                <w:sz w:val="16"/>
                <w:szCs w:val="16"/>
                <w:highlight w:val="none"/>
                <w:lang w:val="en-US" w:eastAsia="zh-CN"/>
              </w:rPr>
            </w:pPr>
            <w:r>
              <w:rPr>
                <w:rFonts w:hint="eastAsia" w:ascii="宋体" w:hAnsi="宋体"/>
                <w:color w:val="auto"/>
                <w:sz w:val="16"/>
                <w:szCs w:val="16"/>
                <w:highlight w:val="none"/>
                <w:lang w:val="en-US" w:eastAsia="zh-CN"/>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其他需说明的事项</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本部门无其他需说明事项。</w:t>
      </w:r>
    </w:p>
    <w:p>
      <w:pPr>
        <w:pStyle w:val="2"/>
        <w:spacing w:before="156" w:beforeLines="50" w:after="156" w:afterLines="50" w:line="560" w:lineRule="exact"/>
        <w:jc w:val="center"/>
        <w:rPr>
          <w:rFonts w:ascii="黑体" w:eastAsia="黑体"/>
          <w:color w:val="auto"/>
          <w:sz w:val="30"/>
          <w:szCs w:val="30"/>
          <w:highlight w:val="none"/>
        </w:rPr>
      </w:pPr>
      <w:r>
        <w:rPr>
          <w:rFonts w:ascii="黑体" w:eastAsia="黑体"/>
          <w:color w:val="auto"/>
          <w:sz w:val="30"/>
          <w:szCs w:val="30"/>
          <w:highlight w:val="none"/>
        </w:rPr>
        <w:br w:type="page"/>
      </w:r>
      <w:r>
        <w:rPr>
          <w:rFonts w:hint="eastAsia" w:ascii="黑体" w:eastAsia="黑体"/>
          <w:color w:val="auto"/>
          <w:sz w:val="30"/>
          <w:szCs w:val="30"/>
          <w:highlight w:val="none"/>
        </w:rPr>
        <w:t>第四部分 名词解释</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一、财政拨款:</w:t>
      </w:r>
      <w:r>
        <w:rPr>
          <w:rFonts w:hint="eastAsia" w:ascii="仿宋" w:hAnsi="CIDFont+F6" w:eastAsia="仿宋"/>
          <w:color w:val="auto"/>
          <w:sz w:val="28"/>
          <w:szCs w:val="28"/>
          <w:highlight w:val="none"/>
        </w:rPr>
        <w:t>指由一般公共预算、政府性基金预算、国有资本经营预算安排的财政拨款数。</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二、一般公共预算:</w:t>
      </w:r>
      <w:r>
        <w:rPr>
          <w:rFonts w:hint="eastAsia" w:ascii="仿宋" w:hAnsi="CIDFont+F6" w:eastAsia="仿宋"/>
          <w:color w:val="auto"/>
          <w:sz w:val="28"/>
          <w:szCs w:val="28"/>
          <w:highlight w:val="none"/>
        </w:rPr>
        <w:t>包括公共财政拨款（补助）资金、专项收入。</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三、财政专户管理资金:</w:t>
      </w:r>
      <w:r>
        <w:rPr>
          <w:rFonts w:hint="eastAsia" w:ascii="仿宋" w:hAnsi="CIDFont+F6" w:eastAsia="仿宋"/>
          <w:color w:val="auto"/>
          <w:sz w:val="28"/>
          <w:szCs w:val="28"/>
          <w:highlight w:val="none"/>
        </w:rPr>
        <w:t>包括专户管理行政事业性收费（主要是教育收费）、其他非税收入。</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四、其他资金:</w:t>
      </w:r>
      <w:r>
        <w:rPr>
          <w:rFonts w:hint="eastAsia" w:ascii="仿宋" w:hAnsi="CIDFont+F6" w:eastAsia="仿宋"/>
          <w:color w:val="auto"/>
          <w:sz w:val="28"/>
          <w:szCs w:val="28"/>
          <w:highlight w:val="none"/>
        </w:rPr>
        <w:t>包括事业收入、事业经营收入、其他收入等。</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五、基本支出:</w:t>
      </w:r>
      <w:r>
        <w:rPr>
          <w:rFonts w:hint="eastAsia" w:ascii="仿宋" w:hAnsi="CIDFont+F6" w:eastAsia="仿宋"/>
          <w:color w:val="auto"/>
          <w:sz w:val="28"/>
          <w:szCs w:val="28"/>
          <w:highlight w:val="none"/>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六、项目支出:</w:t>
      </w:r>
      <w:r>
        <w:rPr>
          <w:rFonts w:hint="eastAsia" w:ascii="仿宋" w:hAnsi="CIDFont+F6" w:eastAsia="仿宋"/>
          <w:color w:val="auto"/>
          <w:sz w:val="28"/>
          <w:szCs w:val="28"/>
          <w:highlight w:val="none"/>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七、“三公”经费:</w:t>
      </w:r>
      <w:r>
        <w:rPr>
          <w:rFonts w:hint="eastAsia" w:ascii="仿宋" w:hAnsi="CIDFont+F6" w:eastAsia="仿宋"/>
          <w:color w:val="auto"/>
          <w:sz w:val="28"/>
          <w:szCs w:val="28"/>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八、机关运行经费:</w:t>
      </w:r>
      <w:r>
        <w:rPr>
          <w:rFonts w:hint="eastAsia" w:ascii="仿宋" w:hAnsi="CIDFont+F6" w:eastAsia="仿宋"/>
          <w:color w:val="auto"/>
          <w:sz w:val="28"/>
          <w:szCs w:val="28"/>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auto"/>
          <w:sz w:val="28"/>
          <w:szCs w:val="28"/>
          <w:highlight w:val="none"/>
        </w:rPr>
      </w:pPr>
      <w:r>
        <w:rPr>
          <w:rFonts w:hint="eastAsia" w:ascii="仿宋" w:hAnsi="CIDFont+F6" w:eastAsia="仿宋"/>
          <w:color w:val="auto"/>
          <w:sz w:val="28"/>
          <w:szCs w:val="28"/>
          <w:highlight w:val="none"/>
        </w:rPr>
        <w:t>额敏县上户镇寄宿制学校</w:t>
      </w:r>
    </w:p>
    <w:p>
      <w:pPr>
        <w:spacing w:line="560" w:lineRule="exact"/>
        <w:jc w:val="right"/>
        <w:rPr>
          <w:rFonts w:ascii="仿宋" w:eastAsia="仿宋"/>
          <w:color w:val="auto"/>
          <w:sz w:val="28"/>
          <w:szCs w:val="28"/>
          <w:highlight w:val="none"/>
        </w:rPr>
      </w:pPr>
      <w:r>
        <w:rPr>
          <w:rFonts w:hint="eastAsia" w:ascii="仿宋" w:hAnsi="CIDFont+F6" w:eastAsia="仿宋"/>
          <w:color w:val="auto"/>
          <w:sz w:val="28"/>
          <w:szCs w:val="28"/>
          <w:highlight w:val="none"/>
          <w:lang w:eastAsia="zh-CN"/>
        </w:rPr>
        <w:t>2026</w:t>
      </w:r>
      <w:r>
        <w:rPr>
          <w:rFonts w:hint="eastAsia" w:ascii="仿宋" w:hAnsi="CIDFont+F6" w:eastAsia="仿宋"/>
          <w:color w:val="auto"/>
          <w:sz w:val="28"/>
          <w:szCs w:val="28"/>
          <w:highlight w:val="none"/>
        </w:rPr>
        <w:t>年</w:t>
      </w:r>
      <w:r>
        <w:rPr>
          <w:rFonts w:hint="eastAsia" w:ascii="仿宋" w:hAnsi="CIDFont+F6" w:eastAsia="仿宋"/>
          <w:color w:val="auto"/>
          <w:sz w:val="28"/>
          <w:szCs w:val="28"/>
          <w:highlight w:val="none"/>
          <w:lang w:val="en-US" w:eastAsia="zh-CN"/>
        </w:rPr>
        <w:t>2</w:t>
      </w:r>
      <w:r>
        <w:rPr>
          <w:rFonts w:hint="eastAsia" w:ascii="仿宋" w:hAnsi="CIDFont+F6" w:eastAsia="仿宋"/>
          <w:color w:val="auto"/>
          <w:sz w:val="28"/>
          <w:szCs w:val="28"/>
          <w:highlight w:val="none"/>
        </w:rPr>
        <w:t>月1</w:t>
      </w:r>
      <w:r>
        <w:rPr>
          <w:rFonts w:hint="eastAsia" w:ascii="仿宋" w:hAnsi="CIDFont+F6" w:eastAsia="仿宋"/>
          <w:color w:val="auto"/>
          <w:sz w:val="28"/>
          <w:szCs w:val="28"/>
          <w:highlight w:val="none"/>
          <w:lang w:val="en-US" w:eastAsia="zh-CN"/>
        </w:rPr>
        <w:t>4</w:t>
      </w:r>
      <w:r>
        <w:rPr>
          <w:rFonts w:hint="eastAsia" w:ascii="仿宋" w:hAnsi="CIDFont+F6" w:eastAsia="仿宋"/>
          <w:color w:val="auto"/>
          <w:sz w:val="28"/>
          <w:szCs w:val="28"/>
          <w:highlight w:val="none"/>
        </w:rPr>
        <w:t>日</w:t>
      </w:r>
    </w:p>
    <w:p>
      <w:pPr>
        <w:rPr>
          <w:color w:val="auto"/>
          <w:highlight w:val="none"/>
        </w:rPr>
      </w:pP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145BA"/>
    <w:rsid w:val="03A71B86"/>
    <w:rsid w:val="05BC6F32"/>
    <w:rsid w:val="06F96AF6"/>
    <w:rsid w:val="078E1DD3"/>
    <w:rsid w:val="0A651487"/>
    <w:rsid w:val="0C3630E6"/>
    <w:rsid w:val="0DB028C1"/>
    <w:rsid w:val="0F2B550E"/>
    <w:rsid w:val="0FC24482"/>
    <w:rsid w:val="10742827"/>
    <w:rsid w:val="13E42872"/>
    <w:rsid w:val="13F60E86"/>
    <w:rsid w:val="17BD331C"/>
    <w:rsid w:val="1804408F"/>
    <w:rsid w:val="18DE40A5"/>
    <w:rsid w:val="1B776E5C"/>
    <w:rsid w:val="20CA763A"/>
    <w:rsid w:val="25B91FDF"/>
    <w:rsid w:val="25E30EE3"/>
    <w:rsid w:val="27D71F75"/>
    <w:rsid w:val="2AF47607"/>
    <w:rsid w:val="2B4B54AD"/>
    <w:rsid w:val="2B7679ED"/>
    <w:rsid w:val="2D3D3639"/>
    <w:rsid w:val="2E891954"/>
    <w:rsid w:val="2FF27525"/>
    <w:rsid w:val="30CA525E"/>
    <w:rsid w:val="3A8B514B"/>
    <w:rsid w:val="3DE55B56"/>
    <w:rsid w:val="3E6C1E9F"/>
    <w:rsid w:val="3E796F25"/>
    <w:rsid w:val="44BD39F4"/>
    <w:rsid w:val="459E7426"/>
    <w:rsid w:val="47B72042"/>
    <w:rsid w:val="4C0D4D4D"/>
    <w:rsid w:val="50260B05"/>
    <w:rsid w:val="546E7D01"/>
    <w:rsid w:val="549F7EBB"/>
    <w:rsid w:val="5AA4630F"/>
    <w:rsid w:val="5E7B4D16"/>
    <w:rsid w:val="618D5292"/>
    <w:rsid w:val="63D2060F"/>
    <w:rsid w:val="6491289D"/>
    <w:rsid w:val="664221AF"/>
    <w:rsid w:val="674D4EC0"/>
    <w:rsid w:val="68E424F2"/>
    <w:rsid w:val="69D83718"/>
    <w:rsid w:val="6B1D29D6"/>
    <w:rsid w:val="6DE00BEE"/>
    <w:rsid w:val="6F814903"/>
    <w:rsid w:val="73FC617C"/>
    <w:rsid w:val="75AD0232"/>
    <w:rsid w:val="76EA1D4B"/>
    <w:rsid w:val="78B67320"/>
    <w:rsid w:val="7BBD1E86"/>
    <w:rsid w:val="7C0D5853"/>
    <w:rsid w:val="7F395A28"/>
    <w:rsid w:val="7F67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13572</Words>
  <Characters>16880</Characters>
  <Lines>0</Lines>
  <Paragraphs>0</Paragraphs>
  <TotalTime>3</TotalTime>
  <ScaleCrop>false</ScaleCrop>
  <LinksUpToDate>false</LinksUpToDate>
  <CharactersWithSpaces>17419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2025-03-13T08:25:00Z</dcterms:created>
  <dc:creator>Administrator</dc:creator>
  <cp:lastModifiedBy>Administrator</cp:lastModifiedBy>
  <dcterms:modified xsi:type="dcterms:W3CDTF">2026-02-14T05:17:37Z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eyJoZGlkIjoiNzFhZDliZTU1NDgyZjE5Mjk4NDYyZGU3MGE0MGU3MDMiLCJ1c2VySWQiOiI0MDc4MjI4MzYifQ==</vt:lpwstr>
  </property>
  <property fmtid="{D5CDD505-2E9C-101B-9397-08002B2CF9AE}" pid="4" name="ICV">
    <vt:lpwstr>885BF4F7B32D4C59B89409C1CC575664_12</vt:lpwstr>
  </property>
</Properties>
</file>