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p>
    <w:p>
      <w:pPr>
        <w:pStyle w:val="4"/>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bookmarkStart w:id="1" w:name="_GoBack"/>
      <w:r>
        <w:rPr>
          <w:rFonts w:hint="default" w:ascii="Times New Roman" w:hAnsi="Times New Roman" w:eastAsia="方正小标宋_GBK" w:cs="Times New Roman"/>
          <w:sz w:val="44"/>
          <w:szCs w:val="44"/>
          <w:lang w:val="en-US" w:eastAsia="zh-CN"/>
        </w:rPr>
        <w:t>新疆维吾尔自治区塔城地区额敏县2024年度</w:t>
      </w:r>
    </w:p>
    <w:p>
      <w:pPr>
        <w:pStyle w:val="4"/>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自然资源国有资产专项报告</w:t>
      </w:r>
    </w:p>
    <w:bookmarkEnd w:id="1"/>
    <w:p>
      <w:pPr>
        <w:pStyle w:val="4"/>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bookmarkStart w:id="0" w:name="OLE_LINK2"/>
      <w:r>
        <w:rPr>
          <w:rFonts w:hint="default" w:ascii="Times New Roman" w:hAnsi="Times New Roman" w:eastAsia="仿宋_GB2312" w:cs="Times New Roman"/>
          <w:sz w:val="32"/>
          <w:szCs w:val="32"/>
          <w:lang w:val="en-US" w:eastAsia="zh-CN"/>
        </w:rPr>
        <w:t>《关于报送2024年度国有资产管理情况专项报告的通知》</w:t>
      </w:r>
      <w:bookmarkEnd w:id="0"/>
      <w:r>
        <w:rPr>
          <w:rFonts w:hint="default" w:ascii="Times New Roman" w:hAnsi="Times New Roman" w:eastAsia="仿宋_GB2312" w:cs="Times New Roman"/>
          <w:sz w:val="32"/>
          <w:szCs w:val="32"/>
          <w:lang w:val="en-US" w:eastAsia="zh-CN"/>
        </w:rPr>
        <w:t>工作要求，现就额敏县2024年国有自然资源资产专项报告汇报如下：</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一、国有自然资源资产总体情况</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自然资源主要包括土地资源、森林资源、矿产资源、动物资源、湿地资源、草资源等。</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（一）土地资源基本情况</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额敏县总面积为669016.6977公顷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含兵团）。耕地面积为132933.0250公顷（国有44424.6747公顷）；园地面积为343.4560公顷（国有272.70公顷）；商业服务业用地为315.2288公顷（国有244.8329公顷）；工矿用地为1256.6097公顷（国有1081.2483公顷），住宅用地为5179.8799公顷（国有2752.7092公顷），公共管理与公共服务用地579.7393公顷（国有293.0878公顷），特殊用地为763.8233公顷（国有708.9121公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交通运输用地面积为6085.4003公顷（国有4581.2086公顷）；水域及水利设施用地面积为5279.2524公顷（国有4738.5092公顷）；其他土地面积为1036.4936公顷（国有896.0984公顷）。</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（二）森林资源基本情况</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林地面积为76678.9411公顷（国有70483.9218公顷）；草地面积为434260.21公顷（国有430707.8608公顷）。</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（三）矿产资源基本情况。</w:t>
      </w:r>
      <w:r>
        <w:rPr>
          <w:rFonts w:hint="default" w:ascii="Times New Roman" w:hAnsi="Times New Roman" w:eastAsia="仿宋_GB2312" w:cs="Times New Roman"/>
          <w:sz w:val="32"/>
          <w:szCs w:val="32"/>
          <w:lang w:val="en-US" w:eastAsia="zh-CN"/>
        </w:rPr>
        <w:t>额敏县矿山企业7家，其中：炭质泥岩矿2家（停产）、砂岩矿2家（停产）、砖瓦用粘土矿2家（生产），建筑用砂矿1家（生产）。保有推断资源量：两条煤层位于喇嘛昭乡一带，储量达数亿吨。</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（四）湿地资源基本情况。</w:t>
      </w:r>
      <w:r>
        <w:rPr>
          <w:rFonts w:hint="default" w:ascii="Times New Roman" w:hAnsi="Times New Roman" w:eastAsia="仿宋_GB2312" w:cs="Times New Roman"/>
          <w:sz w:val="32"/>
          <w:szCs w:val="32"/>
          <w:lang w:val="en-US" w:eastAsia="zh-CN"/>
        </w:rPr>
        <w:t>湿地面积为4304.6383公顷（国有4224.2022公顷）。</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二、国有自然资源管理工作及成效</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加强</w:t>
      </w:r>
      <w:r>
        <w:rPr>
          <w:rFonts w:hint="default" w:ascii="Times New Roman" w:hAnsi="Times New Roman" w:eastAsia="楷体_GB2312" w:cs="Times New Roman"/>
          <w:b/>
          <w:bCs/>
          <w:sz w:val="32"/>
          <w:szCs w:val="32"/>
          <w:lang w:val="en-US" w:eastAsia="zh-CN"/>
        </w:rPr>
        <w:t>国有土地资源管理</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有序推进国土空间规划编制工作和控制性详细规划和乡镇国土空间规划、村庄规划编制工作实施。启动11个乡镇、116个村庄规划编制工作。着力化解历史遗留问题，按照《自然资源部关于加快解决不动产登记若干历史遗留问题的通知》，结合县政府印发的《关于妥善处理房屋和土地登记遗留问题的实施方案》，2024年解决2个小区1382余户群众急难愁盼问题，有效的维护群众合法权益。</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强化</w:t>
      </w:r>
      <w:r>
        <w:rPr>
          <w:rFonts w:hint="default" w:ascii="Times New Roman" w:hAnsi="Times New Roman" w:eastAsia="楷体_GB2312" w:cs="Times New Roman"/>
          <w:b/>
          <w:bCs/>
          <w:sz w:val="32"/>
          <w:szCs w:val="32"/>
          <w:lang w:val="en-US" w:eastAsia="zh-CN"/>
        </w:rPr>
        <w:t>森林资源管理</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完成退化林修复造林任务13600亩，县乡村三级巡林发现并解决问题2790次，设立林长制公示牌185块，积极组织森林草原防灭火应急演练，森林火灾年均受害率控制在0.8‰以下，未发生大的森林火灾。林业有害生物监测覆盖率达到100%，成灾率控制在8.2‰以下，无公害防治率达到90%以上，种苗产地检疫检验率达到100%。</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val="en-US" w:eastAsia="zh-CN"/>
        </w:rPr>
        <w:t>强化</w:t>
      </w:r>
      <w:r>
        <w:rPr>
          <w:rFonts w:hint="default" w:ascii="Times New Roman" w:hAnsi="Times New Roman" w:eastAsia="楷体_GB2312" w:cs="Times New Roman"/>
          <w:b/>
          <w:bCs/>
          <w:sz w:val="32"/>
          <w:szCs w:val="32"/>
          <w:lang w:val="en-US" w:eastAsia="zh-CN"/>
        </w:rPr>
        <w:t>矿产资源管理。</w:t>
      </w:r>
      <w:r>
        <w:rPr>
          <w:rFonts w:hint="default" w:ascii="Times New Roman" w:hAnsi="Times New Roman" w:eastAsia="仿宋_GB2312" w:cs="Times New Roman"/>
          <w:b w:val="0"/>
          <w:bCs w:val="0"/>
          <w:kern w:val="2"/>
          <w:sz w:val="32"/>
          <w:szCs w:val="32"/>
          <w:lang w:val="en-US" w:eastAsia="zh-CN" w:bidi="ar-SA"/>
        </w:rPr>
        <w:t>加强矿山生态修复工作，矿山企业建立矿山生态修复基金监管账户3家，督促矿山企业边开采边治理。加强非煤矿山领域安全生产巡查检查，严厉打击无证开采、越界开采严肃立案查处。积极为工程建设项目单位压覆重要矿产资源查询23件</w:t>
      </w:r>
      <w:r>
        <w:rPr>
          <w:rFonts w:hint="default" w:ascii="Times New Roman" w:hAnsi="Times New Roman" w:eastAsia="仿宋_GB2312" w:cs="Times New Roman"/>
          <w:sz w:val="32"/>
          <w:szCs w:val="32"/>
          <w:lang w:val="en-US" w:eastAsia="zh-CN"/>
        </w:rPr>
        <w:t>。</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val="en-US" w:eastAsia="zh-CN"/>
        </w:rPr>
        <w:t>加强</w:t>
      </w:r>
      <w:r>
        <w:rPr>
          <w:rFonts w:hint="default" w:ascii="Times New Roman" w:hAnsi="Times New Roman" w:eastAsia="楷体_GB2312" w:cs="Times New Roman"/>
          <w:b/>
          <w:bCs/>
          <w:sz w:val="32"/>
          <w:szCs w:val="32"/>
          <w:lang w:val="en-US" w:eastAsia="zh-CN"/>
        </w:rPr>
        <w:t>草原资源管理。</w:t>
      </w:r>
      <w:r>
        <w:rPr>
          <w:rFonts w:hint="default" w:ascii="Times New Roman" w:hAnsi="Times New Roman" w:eastAsia="仿宋_GB2312" w:cs="Times New Roman"/>
          <w:b w:val="0"/>
          <w:bCs w:val="0"/>
          <w:kern w:val="2"/>
          <w:sz w:val="32"/>
          <w:szCs w:val="32"/>
          <w:lang w:val="en-US" w:eastAsia="zh-CN" w:bidi="ar-SA"/>
        </w:rPr>
        <w:t>做好草蓄平衡工作，与18家单位、27个村队、7955户签订草畜平衡责任书，设立草蓄平衡宣传标识牌5个，将减畜任务落到实处。做好征占用工作，2024年共办理草原征占用35宗（其中县级审批18宗，地区审批17宗）。做好草原图斑核查工作，现已完成内业工作。做好病虫鼠害普查防治工作，完成虫害防治面积35万亩。做好动态监测、返青监测等日常监测工作，完成各项目区草场鉴定69个</w:t>
      </w:r>
      <w:r>
        <w:rPr>
          <w:rFonts w:hint="default" w:ascii="Times New Roman" w:hAnsi="Times New Roman" w:eastAsia="仿宋_GB2312" w:cs="Times New Roman"/>
          <w:sz w:val="32"/>
          <w:szCs w:val="32"/>
          <w:lang w:val="en-US" w:eastAsia="zh-CN"/>
        </w:rPr>
        <w:t>。</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三、国有自然资源管理存在的问题和困难</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2024年，虽然我县国有自然资源资产管理取得了一定成效，但我们也清醒认识到，目前的国有自然资源资产管理工作仍然存在一些问题。</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（一）生态文明思想认识还需深化，绿色发展理念不够到位。</w:t>
      </w:r>
      <w:r>
        <w:rPr>
          <w:rFonts w:hint="default" w:ascii="Times New Roman" w:hAnsi="Times New Roman" w:eastAsia="仿宋_GB2312" w:cs="Times New Roman"/>
          <w:b w:val="0"/>
          <w:bCs w:val="0"/>
          <w:sz w:val="32"/>
          <w:szCs w:val="32"/>
          <w:lang w:val="en-US" w:eastAsia="zh-CN"/>
        </w:rPr>
        <w:t>部分区域产业布局、资源开发利用还没有做到与生态环保一同谋划、一起部署、一体推进，和山水林田湖草</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生命共同体</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统一管护不相适应。</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（二）自然资源资产监管还较薄弱，自然资源资产管理制度还需健全。</w:t>
      </w:r>
      <w:r>
        <w:rPr>
          <w:rFonts w:hint="default" w:ascii="Times New Roman" w:hAnsi="Times New Roman" w:eastAsia="仿宋_GB2312" w:cs="Times New Roman"/>
          <w:b w:val="0"/>
          <w:bCs w:val="0"/>
          <w:sz w:val="32"/>
          <w:szCs w:val="32"/>
          <w:lang w:val="en-US" w:eastAsia="zh-CN"/>
        </w:rPr>
        <w:t>自然资源违法用地屡禁不止，如群众耕地保护法律意识不强，部分群众法律意识淡薄，造成违法占用耕地建房。批而未供面积较大，大部分表现为未供即用，进一步处置困难。</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（三）自然资源开发利用效率还有待提高。</w:t>
      </w:r>
      <w:r>
        <w:rPr>
          <w:rFonts w:hint="default" w:ascii="Times New Roman" w:hAnsi="Times New Roman" w:eastAsia="仿宋_GB2312" w:cs="Times New Roman"/>
          <w:b w:val="0"/>
          <w:bCs w:val="0"/>
          <w:sz w:val="32"/>
          <w:szCs w:val="32"/>
          <w:lang w:val="en-US" w:eastAsia="zh-CN"/>
        </w:rPr>
        <w:t>专业技术人才短缺现状越来越明显，因生态保护红线，水利管理范围线等因素影响，耕地后备资源稀缺，矿产一线监测点和监测人员不足能力不强，还有待进一步有效推进矿产资源的保护和有效利用。</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四、下一步工作计划</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（一）完善规划编制，强化自然资源保护</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根据自然资源厅、地区局关于县级国土空间总体规划成果修改要求，及时跟踪对接，进一步修改完善成果，按照上级确定的时间节点完成规划编制、审查、报批工作。抓紧时间推进乡镇国土空间规划编制工作，积极指导有条件村庄编制多规合一实用性村庄规划。加大存量土地处置力度。做好额敏县过渡期土地利用总体规划有条件建设区调整工作。继续发挥职能作用，做好建设项目及招商引资项目用地保障工作。</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（三）坚持节约集约，有效促进资源开发利用 </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认真执行节约集约利用的各项规定，控制建设用地总量，加大产出效益。加大批而未供地块处置力度，强化建设用地批后监管工作。严格落实塔城地区自然资源系统业务工作管理监督</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黄，红，黑牌</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制度，加大存量土地处置力度，促进土地高效利用。加强耕地保护，采取长牙齿的硬措施，落实最严格的耕地保护制度，严守耕地红线</w:t>
      </w:r>
      <w:r>
        <w:rPr>
          <w:rFonts w:hint="default" w:ascii="Times New Roman" w:hAnsi="Times New Roman" w:eastAsia="仿宋_GB2312" w:cs="Times New Roman"/>
          <w:sz w:val="32"/>
          <w:szCs w:val="32"/>
          <w:lang w:val="en-US" w:eastAsia="zh-CN"/>
        </w:rPr>
        <w:t>。</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（四）推进民生服务工作 </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深入推进不动产</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交付即交证</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严格《额敏县不动产登记历史遗留解决办法方案》，继续优化办事流程、精简办事程序，有效保障办事群众的根本利益和权利。加强用地服务保障，完善重点项目快速保障机制，提升用地审批服务效能，确保项目用地应保尽保、及早落地。继续做好土地供应工作，做好全年土地</w:t>
      </w:r>
      <w:r>
        <w:rPr>
          <w:rFonts w:hint="eastAsia" w:ascii="Times New Roman" w:hAnsi="Times New Roman" w:eastAsia="仿宋_GB2312" w:cs="Times New Roman"/>
          <w:b w:val="0"/>
          <w:bCs w:val="0"/>
          <w:sz w:val="32"/>
          <w:szCs w:val="32"/>
          <w:lang w:val="en-US" w:eastAsia="zh-CN"/>
        </w:rPr>
        <w:t>招拍</w:t>
      </w:r>
      <w:r>
        <w:rPr>
          <w:rFonts w:hint="default" w:ascii="Times New Roman" w:hAnsi="Times New Roman" w:eastAsia="仿宋_GB2312" w:cs="Times New Roman"/>
          <w:b w:val="0"/>
          <w:bCs w:val="0"/>
          <w:sz w:val="32"/>
          <w:szCs w:val="32"/>
          <w:lang w:val="en-US" w:eastAsia="zh-CN"/>
        </w:rPr>
        <w:t>挂、划拨用地等供地工作</w:t>
      </w:r>
      <w:r>
        <w:rPr>
          <w:rFonts w:hint="default" w:ascii="Times New Roman" w:hAnsi="Times New Roman" w:eastAsia="仿宋_GB2312" w:cs="Times New Roman"/>
          <w:sz w:val="32"/>
          <w:szCs w:val="32"/>
          <w:lang w:val="en-US" w:eastAsia="zh-CN"/>
        </w:rPr>
        <w:t>。</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（五）全面推进林草长制工作 </w:t>
      </w:r>
    </w:p>
    <w:p>
      <w:pPr>
        <w:pStyle w:val="4"/>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坚持林草工作与乡村振兴战略有效衔接，重点做好河流、道路、沟渠、村庄绿化提升。全面加强新造林管护，探索建立管护激励政策，切实提高林木保存率和绿化效果。加强林木采伐和林、草地征占用审批管理，合理控制森林采伐限额，确保森林覆盖率稳定增长。做好森林、草原防火和病虫害防治工作。延伸林草产业链，提高林产品附加值。加快引进和培育林草龙头企业，盘活林草资产，推动林草增效、农牧民增收</w:t>
      </w:r>
      <w:r>
        <w:rPr>
          <w:rFonts w:hint="default" w:ascii="Times New Roman" w:hAnsi="Times New Roman" w:eastAsia="仿宋_GB2312" w:cs="Times New Roman"/>
          <w:sz w:val="32"/>
          <w:szCs w:val="32"/>
          <w:lang w:val="en-US" w:eastAsia="zh-CN"/>
        </w:rPr>
        <w:t>。</w:t>
      </w:r>
    </w:p>
    <w:sectPr>
      <w:footerReference r:id="rId3" w:type="default"/>
      <w:pgSz w:w="11905" w:h="16838"/>
      <w:pgMar w:top="2098" w:right="1474" w:bottom="1984" w:left="1474"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55C71"/>
    <w:rsid w:val="027D7BB9"/>
    <w:rsid w:val="044E02B6"/>
    <w:rsid w:val="04D317F9"/>
    <w:rsid w:val="05EF2A94"/>
    <w:rsid w:val="07CC6020"/>
    <w:rsid w:val="09067755"/>
    <w:rsid w:val="0D3D0283"/>
    <w:rsid w:val="0DB85EB9"/>
    <w:rsid w:val="0E847D8C"/>
    <w:rsid w:val="0FC70F34"/>
    <w:rsid w:val="18B61F47"/>
    <w:rsid w:val="1AA10F3B"/>
    <w:rsid w:val="1AC95BF1"/>
    <w:rsid w:val="1C282044"/>
    <w:rsid w:val="1CB046F4"/>
    <w:rsid w:val="1DFF7502"/>
    <w:rsid w:val="1FB73F36"/>
    <w:rsid w:val="20CF7CB7"/>
    <w:rsid w:val="212D06C8"/>
    <w:rsid w:val="223A6BA1"/>
    <w:rsid w:val="23C64124"/>
    <w:rsid w:val="241F2837"/>
    <w:rsid w:val="29425348"/>
    <w:rsid w:val="2B2D28D6"/>
    <w:rsid w:val="2B82185B"/>
    <w:rsid w:val="338A674F"/>
    <w:rsid w:val="3544649B"/>
    <w:rsid w:val="36394A53"/>
    <w:rsid w:val="368B4949"/>
    <w:rsid w:val="37F3105F"/>
    <w:rsid w:val="3A871BAE"/>
    <w:rsid w:val="3B5E0AB4"/>
    <w:rsid w:val="40AB3128"/>
    <w:rsid w:val="41C821A0"/>
    <w:rsid w:val="42723B65"/>
    <w:rsid w:val="42AF5451"/>
    <w:rsid w:val="430E4600"/>
    <w:rsid w:val="4333472A"/>
    <w:rsid w:val="43FD1027"/>
    <w:rsid w:val="454E40B3"/>
    <w:rsid w:val="46246DE9"/>
    <w:rsid w:val="47120B93"/>
    <w:rsid w:val="47141BE9"/>
    <w:rsid w:val="47D3559F"/>
    <w:rsid w:val="4C997A3F"/>
    <w:rsid w:val="4DFA1BDE"/>
    <w:rsid w:val="4E343F72"/>
    <w:rsid w:val="4E6C5152"/>
    <w:rsid w:val="4E8F0E54"/>
    <w:rsid w:val="50F70294"/>
    <w:rsid w:val="520E6DA8"/>
    <w:rsid w:val="52165CE3"/>
    <w:rsid w:val="52CD09A0"/>
    <w:rsid w:val="52FA7653"/>
    <w:rsid w:val="563F7856"/>
    <w:rsid w:val="5836617E"/>
    <w:rsid w:val="595275C0"/>
    <w:rsid w:val="5BBD48AA"/>
    <w:rsid w:val="5DBC1B26"/>
    <w:rsid w:val="5E7145FF"/>
    <w:rsid w:val="5FC15045"/>
    <w:rsid w:val="668443C9"/>
    <w:rsid w:val="673B3ADF"/>
    <w:rsid w:val="67DE404D"/>
    <w:rsid w:val="69750C74"/>
    <w:rsid w:val="6B82418B"/>
    <w:rsid w:val="6FBF7B85"/>
    <w:rsid w:val="72206A7A"/>
    <w:rsid w:val="72E55C09"/>
    <w:rsid w:val="738F321F"/>
    <w:rsid w:val="750A4F54"/>
    <w:rsid w:val="785769A2"/>
    <w:rsid w:val="78955C71"/>
    <w:rsid w:val="793B4AB0"/>
    <w:rsid w:val="7A984D6B"/>
    <w:rsid w:val="7C76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HTML Address"/>
    <w:basedOn w:val="1"/>
    <w:qFormat/>
    <w:uiPriority w:val="0"/>
    <w:rPr>
      <w:rFonts w:ascii="Times New Roman" w:hAnsi="Times New Roman" w:eastAsia="宋体" w:cs="Times New Roman"/>
      <w:i/>
      <w:iCs/>
      <w:szCs w:val="24"/>
    </w:rPr>
  </w:style>
  <w:style w:type="paragraph" w:styleId="4">
    <w:name w:val="Normal Indent"/>
    <w:basedOn w:val="1"/>
    <w:unhideWhenUsed/>
    <w:qFormat/>
    <w:uiPriority w:val="99"/>
    <w:pPr>
      <w:widowControl/>
      <w:spacing w:after="200" w:line="276" w:lineRule="auto"/>
      <w:ind w:firstLine="420" w:firstLineChars="200"/>
      <w:jc w:val="left"/>
    </w:pPr>
    <w:rPr>
      <w:rFonts w:ascii="Calibri" w:hAnsi="Calibri" w:eastAsia="Calibri" w:cs="黑体"/>
      <w:kern w:val="0"/>
      <w:sz w:val="22"/>
      <w:szCs w:val="22"/>
      <w:lang w:eastAsia="en-US" w:bidi="en-US"/>
    </w:rPr>
  </w:style>
  <w:style w:type="paragraph" w:styleId="5">
    <w:name w:val="Body Text"/>
    <w:basedOn w:val="1"/>
    <w:next w:val="1"/>
    <w:qFormat/>
    <w:uiPriority w:val="0"/>
    <w:pPr>
      <w:spacing w:after="120"/>
    </w:pPr>
    <w:rPr>
      <w:rFonts w:ascii="Times New Roman" w:hAnsi="Times New Roman" w:eastAsia="宋体"/>
      <w:sz w:val="21"/>
      <w:szCs w:val="24"/>
    </w:rPr>
  </w:style>
  <w:style w:type="paragraph" w:styleId="6">
    <w:name w:val="Body Text Indent 2"/>
    <w:basedOn w:val="1"/>
    <w:next w:val="5"/>
    <w:qFormat/>
    <w:uiPriority w:val="0"/>
    <w:pPr>
      <w:spacing w:after="120" w:afterLines="0" w:line="480" w:lineRule="auto"/>
      <w:ind w:left="420" w:leftChars="200"/>
    </w:pPr>
    <w:rPr>
      <w:rFonts w:eastAsia="方正仿宋简体"/>
      <w:kern w:val="2"/>
      <w:sz w:val="32"/>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_Style 2"/>
    <w:basedOn w:val="1"/>
    <w:qFormat/>
    <w:uiPriority w:val="34"/>
    <w:pPr>
      <w:ind w:firstLine="420" w:firstLineChars="200"/>
    </w:pPr>
  </w:style>
  <w:style w:type="paragraph" w:customStyle="1" w:styleId="12">
    <w:name w:val="TableOfAuthoring"/>
    <w:basedOn w:val="1"/>
    <w:next w:val="1"/>
    <w:semiHidden/>
    <w:qFormat/>
    <w:uiPriority w:val="0"/>
    <w:pPr>
      <w:ind w:left="420" w:leftChars="200"/>
      <w:jc w:val="both"/>
      <w:textAlignment w:val="baseline"/>
    </w:p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2025-08-25T02:30:00Z</dcterms:created>
  <dc:creator>Administrator</dc:creator>
  <cp:lastModifiedBy>Administrator</cp:lastModifiedBy>
  <cp:lastPrinted>2025-11-21T11:41:00Z</cp:lastPrinted>
  <dcterms:modified xsi:type="dcterms:W3CDTF">2025-12-30T04:52:03Z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D77BABEF804749A9AF08AC0AE201B02A</vt:lpwstr>
  </property>
</Properties>
</file>