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新疆维吾尔自治区塔城地区额敏县202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国有资产</w:t>
      </w:r>
      <w:r>
        <w:rPr>
          <w:rFonts w:hint="default" w:ascii="Times New Roman" w:hAnsi="Times New Roman" w:eastAsia="方正小标宋_GBK" w:cs="Times New Roman"/>
          <w:sz w:val="44"/>
          <w:szCs w:val="44"/>
          <w:lang w:val="en-US" w:eastAsia="zh-CN"/>
        </w:rPr>
        <w:t>管理情况</w:t>
      </w:r>
      <w:r>
        <w:rPr>
          <w:rFonts w:hint="default" w:ascii="Times New Roman" w:hAnsi="Times New Roman" w:eastAsia="方正小标宋_GBK" w:cs="Times New Roman"/>
          <w:sz w:val="44"/>
          <w:szCs w:val="44"/>
        </w:rPr>
        <w:t>综合报告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20" w:firstLineChars="200"/>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为贯彻落实关于建立政府向同级人大常委会报告国有资产管理情况制度要求，形成《额敏县2024年度国有资产管理情况综合报告》，请予审议。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一、国有资产</w:t>
      </w:r>
      <w:r>
        <w:rPr>
          <w:rFonts w:hint="default" w:ascii="Times New Roman" w:hAnsi="Times New Roman" w:eastAsia="黑体" w:cs="Times New Roman"/>
          <w:sz w:val="32"/>
          <w:szCs w:val="32"/>
          <w:lang w:eastAsia="zh-CN"/>
        </w:rPr>
        <w:t>总体</w:t>
      </w:r>
      <w:r>
        <w:rPr>
          <w:rFonts w:hint="default" w:ascii="Times New Roman" w:hAnsi="Times New Roman" w:eastAsia="黑体" w:cs="Times New Roman"/>
          <w:sz w:val="32"/>
          <w:szCs w:val="32"/>
        </w:rPr>
        <w:t>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非金融类</w:t>
      </w:r>
      <w:r>
        <w:rPr>
          <w:rFonts w:hint="default" w:ascii="Times New Roman" w:hAnsi="Times New Roman" w:eastAsia="楷体_GB2312" w:cs="Times New Roman"/>
          <w:b/>
          <w:bCs/>
          <w:sz w:val="32"/>
          <w:szCs w:val="32"/>
        </w:rPr>
        <w:t>国有企业资产</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末，县属国有企业资产总额82.3亿元，较上年增加23.4亿元，增长39.73%；负债总额36.9亿元，较上年减少2.3亿元，下降5.87%，资产负债率44.84％；净资产（年末所有者权益）45.5亿元，较上年增加25.8亿元，资本积累率230.96%。</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（二）国有金融企业资产</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截至2024年末，资产总额62.41亿元，较上年增加4.05亿元，增长6.94%；负债总额56.61亿元，较上年增加3.59亿元，增长6.76%。</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（三）行政事业性国有资产</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截至2024年末，行政事业性国有资产总额（账面数，下同）40.56亿万元，负债总额4.9亿元，净资产总额35.66亿元。其中：行政单位资产总额23.33亿元，占资产总额的57.52%；事业单位资产总额17.23亿元，占资产总额的42.48%。</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（四）国有自然资源资产</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sz w:val="32"/>
          <w:szCs w:val="32"/>
          <w:highlight w:val="none"/>
        </w:rPr>
      </w:pPr>
      <w:r>
        <w:rPr>
          <w:rFonts w:hint="default" w:ascii="Times New Roman" w:hAnsi="Times New Roman" w:eastAsia="仿宋_GB2312" w:cs="Times New Roman"/>
          <w:b/>
          <w:bCs/>
          <w:i w:val="0"/>
          <w:iCs w:val="0"/>
          <w:sz w:val="32"/>
          <w:szCs w:val="32"/>
          <w:highlight w:val="none"/>
          <w:lang w:val="en-US" w:eastAsia="zh-CN"/>
        </w:rPr>
        <w:t>1.</w:t>
      </w:r>
      <w:r>
        <w:rPr>
          <w:rFonts w:hint="default" w:ascii="Times New Roman" w:hAnsi="Times New Roman" w:eastAsia="仿宋_GB2312" w:cs="Times New Roman"/>
          <w:b/>
          <w:bCs/>
          <w:i w:val="0"/>
          <w:iCs w:val="0"/>
          <w:sz w:val="32"/>
          <w:szCs w:val="32"/>
          <w:highlight w:val="none"/>
        </w:rPr>
        <w:t>土地资源情况</w:t>
      </w:r>
      <w:r>
        <w:rPr>
          <w:rFonts w:hint="default" w:ascii="Times New Roman" w:hAnsi="Times New Roman" w:eastAsia="仿宋_GB2312" w:cs="Times New Roman"/>
          <w:b/>
          <w:bCs/>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额敏县总面积为669016.6977公顷</w:t>
      </w:r>
      <w:r>
        <w:rPr>
          <w:rFonts w:hint="eastAsia" w:ascii="Times New Roman" w:hAnsi="Times New Roman" w:eastAsia="仿宋_GB2312" w:cs="Times New Roman"/>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不含兵团）。耕地面积为132933.0250公顷（国有44424.6747公顷）；园地面积为343.4560公顷（国有272.70公顷）；商业服务业用地为315.2288公顷（国有244.8329公顷）；工矿用地为1256.6097公顷（国有1081.2483公顷），住宅用地为5179.8799公顷（国有2752.7092公顷），公共管理与公共服务用地579.7393公顷（国有293.0878公顷），特殊用地为763.8233公顷（国有708.9121公顷）</w:t>
      </w:r>
      <w:r>
        <w:rPr>
          <w:rFonts w:hint="default" w:ascii="Times New Roman" w:hAnsi="Times New Roman" w:eastAsia="仿宋_GB2312" w:cs="Times New Roman"/>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交通运输用地面积为6085.4003公顷（国有4581.2086公顷）；水域及水利设施用地面积为5279.2524公顷（国有4738.5092公顷）；其他土地面积为1036.4936公顷（国有896.0984公顷）。</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sz w:val="32"/>
          <w:szCs w:val="32"/>
          <w:highlight w:val="none"/>
        </w:rPr>
      </w:pPr>
      <w:r>
        <w:rPr>
          <w:rFonts w:hint="default" w:ascii="Times New Roman" w:hAnsi="Times New Roman" w:eastAsia="仿宋_GB2312" w:cs="Times New Roman"/>
          <w:b/>
          <w:bCs/>
          <w:i w:val="0"/>
          <w:iCs w:val="0"/>
          <w:sz w:val="32"/>
          <w:szCs w:val="32"/>
          <w:highlight w:val="none"/>
          <w:lang w:val="en-US" w:eastAsia="zh-CN"/>
        </w:rPr>
        <w:t>2.</w:t>
      </w:r>
      <w:r>
        <w:rPr>
          <w:rFonts w:hint="default" w:ascii="Times New Roman" w:hAnsi="Times New Roman" w:eastAsia="仿宋_GB2312" w:cs="Times New Roman"/>
          <w:b/>
          <w:bCs/>
          <w:i w:val="0"/>
          <w:iCs w:val="0"/>
          <w:sz w:val="32"/>
          <w:szCs w:val="32"/>
          <w:highlight w:val="none"/>
        </w:rPr>
        <w:t>森林资源情况</w:t>
      </w:r>
      <w:r>
        <w:rPr>
          <w:rFonts w:hint="default" w:ascii="Times New Roman" w:hAnsi="Times New Roman" w:eastAsia="仿宋_GB2312" w:cs="Times New Roman"/>
          <w:b/>
          <w:bCs/>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林地面积为76678.9411公顷（国有70483.9218公顷）；草地面积为434260.21公顷（国有430707.8608公顷）。</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sz w:val="32"/>
          <w:szCs w:val="32"/>
          <w:highlight w:val="none"/>
        </w:rPr>
      </w:pPr>
      <w:r>
        <w:rPr>
          <w:rFonts w:hint="default" w:ascii="Times New Roman" w:hAnsi="Times New Roman" w:eastAsia="仿宋_GB2312" w:cs="Times New Roman"/>
          <w:b/>
          <w:bCs/>
          <w:i w:val="0"/>
          <w:iCs w:val="0"/>
          <w:sz w:val="32"/>
          <w:szCs w:val="32"/>
          <w:highlight w:val="none"/>
          <w:lang w:val="en-US" w:eastAsia="zh-CN"/>
        </w:rPr>
        <w:t>3.</w:t>
      </w:r>
      <w:r>
        <w:rPr>
          <w:rFonts w:hint="default" w:ascii="Times New Roman" w:hAnsi="Times New Roman" w:eastAsia="仿宋_GB2312" w:cs="Times New Roman"/>
          <w:b/>
          <w:bCs/>
          <w:i w:val="0"/>
          <w:iCs w:val="0"/>
          <w:sz w:val="32"/>
          <w:szCs w:val="32"/>
          <w:highlight w:val="none"/>
        </w:rPr>
        <w:t>矿产资源情况</w:t>
      </w:r>
      <w:r>
        <w:rPr>
          <w:rFonts w:hint="default" w:ascii="Times New Roman" w:hAnsi="Times New Roman" w:eastAsia="仿宋_GB2312" w:cs="Times New Roman"/>
          <w:b/>
          <w:bCs/>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额敏县矿山企业7家，其中：炭质泥岩矿2家（停产）、砂岩矿2家（停产）、砖瓦用粘土矿2家（生产）</w:t>
      </w:r>
      <w:r>
        <w:rPr>
          <w:rFonts w:hint="default" w:ascii="Times New Roman" w:hAnsi="Times New Roman" w:eastAsia="仿宋_GB2312" w:cs="Times New Roman"/>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建筑用砂矿1家（生产）。保有推断资源量：两条煤层位于喇嘛昭乡一带，储量达数亿吨。</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sz w:val="32"/>
          <w:szCs w:val="32"/>
          <w:highlight w:val="none"/>
        </w:rPr>
      </w:pPr>
      <w:r>
        <w:rPr>
          <w:rFonts w:hint="default" w:ascii="Times New Roman" w:hAnsi="Times New Roman" w:eastAsia="仿宋_GB2312" w:cs="Times New Roman"/>
          <w:b/>
          <w:bCs/>
          <w:i w:val="0"/>
          <w:iCs w:val="0"/>
          <w:sz w:val="32"/>
          <w:szCs w:val="32"/>
          <w:highlight w:val="none"/>
          <w:lang w:val="en-US" w:eastAsia="zh-CN"/>
        </w:rPr>
        <w:t>4.</w:t>
      </w:r>
      <w:r>
        <w:rPr>
          <w:rFonts w:hint="default" w:ascii="Times New Roman" w:hAnsi="Times New Roman" w:eastAsia="仿宋_GB2312" w:cs="Times New Roman"/>
          <w:b/>
          <w:bCs/>
          <w:i w:val="0"/>
          <w:iCs w:val="0"/>
          <w:sz w:val="32"/>
          <w:szCs w:val="32"/>
          <w:highlight w:val="none"/>
        </w:rPr>
        <w:t>湿地资源情况</w:t>
      </w:r>
      <w:r>
        <w:rPr>
          <w:rFonts w:hint="default" w:ascii="Times New Roman" w:hAnsi="Times New Roman" w:eastAsia="仿宋_GB2312" w:cs="Times New Roman"/>
          <w:b/>
          <w:bCs/>
          <w:i w:val="0"/>
          <w:iCs w:val="0"/>
          <w:sz w:val="32"/>
          <w:szCs w:val="32"/>
          <w:highlight w:val="none"/>
          <w:lang w:eastAsia="zh-CN"/>
        </w:rPr>
        <w:t>。</w:t>
      </w:r>
      <w:r>
        <w:rPr>
          <w:rFonts w:hint="default" w:ascii="Times New Roman" w:hAnsi="Times New Roman" w:eastAsia="仿宋_GB2312" w:cs="Times New Roman"/>
          <w:i w:val="0"/>
          <w:iCs w:val="0"/>
          <w:sz w:val="32"/>
          <w:szCs w:val="32"/>
          <w:highlight w:val="none"/>
        </w:rPr>
        <w:t>湿地面积为4304.6383公顷（国有4224.2022公顷）。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二、国有资产管理</w:t>
      </w:r>
      <w:r>
        <w:rPr>
          <w:rFonts w:hint="default" w:ascii="Times New Roman" w:hAnsi="Times New Roman" w:eastAsia="黑体" w:cs="Times New Roman"/>
          <w:sz w:val="32"/>
          <w:szCs w:val="32"/>
          <w:lang w:val="en-US" w:eastAsia="zh-CN"/>
        </w:rPr>
        <w:t>工作</w:t>
      </w:r>
      <w:r>
        <w:rPr>
          <w:rFonts w:hint="default" w:ascii="Times New Roman" w:hAnsi="Times New Roman" w:eastAsia="黑体" w:cs="Times New Roman"/>
          <w:sz w:val="32"/>
          <w:szCs w:val="32"/>
        </w:rPr>
        <w:t>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非金融类国有</w:t>
      </w:r>
      <w:r>
        <w:rPr>
          <w:rFonts w:hint="default" w:ascii="Times New Roman" w:hAnsi="Times New Roman" w:eastAsia="楷体_GB2312" w:cs="Times New Roman"/>
          <w:b/>
          <w:bCs/>
          <w:sz w:val="32"/>
          <w:szCs w:val="32"/>
        </w:rPr>
        <w:t>企业</w:t>
      </w:r>
      <w:r>
        <w:rPr>
          <w:rFonts w:hint="default" w:ascii="Times New Roman" w:hAnsi="Times New Roman" w:eastAsia="楷体_GB2312" w:cs="Times New Roman"/>
          <w:b/>
          <w:bCs/>
          <w:sz w:val="32"/>
          <w:szCs w:val="32"/>
          <w:lang w:val="en-US" w:eastAsia="zh-CN"/>
        </w:rPr>
        <w:t>资产</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bCs/>
          <w:sz w:val="32"/>
          <w:szCs w:val="32"/>
          <w:lang w:val="en-US" w:eastAsia="zh-CN"/>
        </w:rPr>
        <w:t>一是以高质量党建引领国有企业高质量发展。</w:t>
      </w:r>
      <w:r>
        <w:rPr>
          <w:rFonts w:hint="default" w:ascii="Times New Roman" w:hAnsi="Times New Roman" w:eastAsia="仿宋_GB2312" w:cs="Times New Roman"/>
          <w:b w:val="0"/>
          <w:bCs w:val="0"/>
          <w:sz w:val="32"/>
          <w:szCs w:val="32"/>
          <w:lang w:val="en-US" w:eastAsia="zh-CN"/>
        </w:rPr>
        <w:t>进一步强化党对国有企业的领导，严格要求企业落实“第一议题”制度，坚持把党的领导深度嵌入企业治理结构，推动党组织与企业决策层、执行层有机融合，31个董事会中党员占比达78%，推动全面开展“五个好”标准化规范化党支部建设，2024年度县属国有企业4个党支部被评为“五个好”，9个党支部被评为“四个好”。深入推进全面从严治党，研究制定</w:t>
      </w:r>
      <w:r>
        <w:rPr>
          <w:rFonts w:hint="default" w:ascii="Times New Roman" w:hAnsi="Times New Roman" w:eastAsia="仿宋_GB2312" w:cs="Times New Roman"/>
          <w:b w:val="0"/>
          <w:bCs w:val="0"/>
          <w:sz w:val="32"/>
          <w:szCs w:val="32"/>
        </w:rPr>
        <w:t>《额敏县国资委责任清单、权力清单》《额敏县国有企业重大事项管理规定》《额敏县国有企业监督管规定》</w:t>
      </w:r>
      <w:r>
        <w:rPr>
          <w:rFonts w:hint="default" w:ascii="Times New Roman" w:hAnsi="Times New Roman" w:eastAsia="仿宋_GB2312" w:cs="Times New Roman"/>
          <w:b w:val="0"/>
          <w:bCs w:val="0"/>
          <w:sz w:val="32"/>
          <w:szCs w:val="32"/>
          <w:lang w:val="en-US" w:eastAsia="zh-CN"/>
        </w:rPr>
        <w:t>《额敏县国资委监管企业负责人履职待遇、业务支出管理办法》等，</w:t>
      </w:r>
      <w:r>
        <w:rPr>
          <w:rFonts w:hint="default" w:ascii="Times New Roman" w:hAnsi="Times New Roman" w:eastAsia="仿宋_GB2312" w:cs="Times New Roman"/>
          <w:b w:val="0"/>
          <w:bCs w:val="0"/>
          <w:sz w:val="32"/>
          <w:szCs w:val="32"/>
        </w:rPr>
        <w:t>聘请第三方中介机构进行专项审计，国有企业制度建设和监管手段进一步完善。</w:t>
      </w:r>
      <w:r>
        <w:rPr>
          <w:rFonts w:hint="default" w:ascii="Times New Roman" w:hAnsi="Times New Roman" w:eastAsia="仿宋_GB2312" w:cs="Times New Roman"/>
          <w:b/>
          <w:bCs/>
          <w:sz w:val="32"/>
          <w:szCs w:val="32"/>
          <w:lang w:val="en-US" w:eastAsia="zh-CN"/>
        </w:rPr>
        <w:t>二是持续深化</w:t>
      </w:r>
      <w:r>
        <w:rPr>
          <w:rFonts w:hint="default" w:ascii="Times New Roman" w:hAnsi="Times New Roman" w:eastAsia="仿宋_GB2312" w:cs="Times New Roman"/>
          <w:b/>
          <w:bCs/>
          <w:sz w:val="32"/>
          <w:szCs w:val="32"/>
        </w:rPr>
        <w:t>国资国企改革创新。</w:t>
      </w:r>
      <w:r>
        <w:rPr>
          <w:rFonts w:hint="default" w:ascii="Times New Roman" w:hAnsi="Times New Roman" w:eastAsia="仿宋_GB2312" w:cs="Times New Roman"/>
          <w:b w:val="0"/>
          <w:bCs w:val="0"/>
          <w:sz w:val="32"/>
          <w:szCs w:val="32"/>
        </w:rPr>
        <w:t>利用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6+N</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国有资产管理体系，推动国有企业围绕主责主业，大力发展实体经济，开展专业化整合，将国投集团9家子公司优化整合为4家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将2家子公司并入山川文旅公司，</w:t>
      </w:r>
      <w:r>
        <w:rPr>
          <w:rFonts w:hint="default" w:ascii="Times New Roman" w:hAnsi="Times New Roman" w:eastAsia="仿宋_GB2312" w:cs="Times New Roman"/>
          <w:b w:val="0"/>
          <w:bCs w:val="0"/>
          <w:sz w:val="32"/>
          <w:szCs w:val="32"/>
          <w:lang w:val="en-US" w:eastAsia="zh-CN"/>
        </w:rPr>
        <w:t>进一步</w:t>
      </w:r>
      <w:r>
        <w:rPr>
          <w:rFonts w:hint="default" w:ascii="Times New Roman" w:hAnsi="Times New Roman" w:eastAsia="仿宋_GB2312" w:cs="Times New Roman"/>
          <w:b w:val="0"/>
          <w:bCs w:val="0"/>
          <w:sz w:val="32"/>
          <w:szCs w:val="32"/>
        </w:rPr>
        <w:t>壮大公司资产规模，促进国有资产保值增值。</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突出抓好风险防控，提升资产运营效率。</w:t>
      </w:r>
      <w:r>
        <w:rPr>
          <w:rFonts w:hint="default" w:ascii="Times New Roman" w:hAnsi="Times New Roman" w:eastAsia="仿宋_GB2312" w:cs="Times New Roman"/>
          <w:b w:val="0"/>
          <w:bCs w:val="0"/>
          <w:sz w:val="32"/>
          <w:szCs w:val="32"/>
        </w:rPr>
        <w:t>强化国有企业负债规模和资产负债率双约束，将资产负债率</w:t>
      </w:r>
      <w:r>
        <w:rPr>
          <w:rFonts w:hint="default" w:ascii="Times New Roman" w:hAnsi="Times New Roman" w:eastAsia="仿宋_GB2312" w:cs="Times New Roman"/>
          <w:b w:val="0"/>
          <w:bCs w:val="0"/>
          <w:sz w:val="32"/>
          <w:szCs w:val="32"/>
          <w:lang w:val="en-US" w:eastAsia="zh-CN"/>
        </w:rPr>
        <w:t>纳入</w:t>
      </w:r>
      <w:r>
        <w:rPr>
          <w:rFonts w:hint="default" w:ascii="Times New Roman" w:hAnsi="Times New Roman" w:eastAsia="仿宋_GB2312" w:cs="Times New Roman"/>
          <w:b w:val="0"/>
          <w:bCs w:val="0"/>
          <w:sz w:val="32"/>
          <w:szCs w:val="32"/>
        </w:rPr>
        <w:t>国有企业绩效考核指标，开展县属国有企业债务清理工作，</w:t>
      </w:r>
      <w:r>
        <w:rPr>
          <w:rFonts w:hint="default" w:ascii="Times New Roman" w:hAnsi="Times New Roman" w:eastAsia="仿宋_GB2312" w:cs="Times New Roman"/>
          <w:b w:val="0"/>
          <w:bCs w:val="0"/>
          <w:sz w:val="32"/>
          <w:szCs w:val="32"/>
          <w:lang w:val="en-US" w:eastAsia="zh-CN"/>
        </w:rPr>
        <w:t>进一步</w:t>
      </w:r>
      <w:r>
        <w:rPr>
          <w:rFonts w:hint="default" w:ascii="Times New Roman" w:hAnsi="Times New Roman" w:eastAsia="仿宋_GB2312" w:cs="Times New Roman"/>
          <w:b w:val="0"/>
          <w:bCs w:val="0"/>
          <w:sz w:val="32"/>
          <w:szCs w:val="32"/>
        </w:rPr>
        <w:t>织密防范债务风险坚固防线。</w:t>
      </w:r>
      <w:r>
        <w:rPr>
          <w:rFonts w:hint="default" w:ascii="Times New Roman" w:hAnsi="Times New Roman" w:eastAsia="仿宋_GB2312" w:cs="Times New Roman"/>
          <w:b w:val="0"/>
          <w:bCs w:val="0"/>
          <w:sz w:val="32"/>
          <w:szCs w:val="32"/>
          <w:lang w:eastAsia="zh-CN"/>
        </w:rPr>
        <w:t>加强资产风险管理，</w:t>
      </w:r>
      <w:r>
        <w:rPr>
          <w:rFonts w:hint="default" w:ascii="Times New Roman" w:hAnsi="Times New Roman" w:eastAsia="仿宋_GB2312" w:cs="Times New Roman"/>
          <w:b w:val="0"/>
          <w:bCs w:val="0"/>
          <w:sz w:val="32"/>
          <w:szCs w:val="32"/>
        </w:rPr>
        <w:t>将部分车辆和房产以注资方式注入山川文旅公司</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盘活处置资不抵债企业</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加快完成清退处置工作，已清算注销4家企业，正在注销企业2家。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rPr>
        <w:t>（二）国有金融企业资产</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bCs/>
          <w:sz w:val="32"/>
          <w:szCs w:val="32"/>
          <w:lang w:val="en-US" w:eastAsia="zh-CN"/>
        </w:rPr>
        <w:t>一是加强</w:t>
      </w:r>
      <w:r>
        <w:rPr>
          <w:rFonts w:hint="default" w:ascii="Times New Roman" w:hAnsi="Times New Roman" w:eastAsia="仿宋_GB2312" w:cs="Times New Roman"/>
          <w:b/>
          <w:bCs/>
          <w:sz w:val="32"/>
          <w:szCs w:val="32"/>
        </w:rPr>
        <w:t>股权结构与国有资本管理。</w:t>
      </w:r>
      <w:r>
        <w:rPr>
          <w:rFonts w:hint="default" w:ascii="Times New Roman" w:hAnsi="Times New Roman" w:eastAsia="仿宋_GB2312" w:cs="Times New Roman"/>
          <w:b w:val="0"/>
          <w:bCs w:val="0"/>
          <w:sz w:val="32"/>
          <w:szCs w:val="32"/>
        </w:rPr>
        <w:t>额敏县农村信用合作联社</w:t>
      </w:r>
      <w:r>
        <w:rPr>
          <w:rFonts w:hint="default" w:ascii="Times New Roman" w:hAnsi="Times New Roman" w:eastAsia="仿宋_GB2312" w:cs="Times New Roman"/>
          <w:b w:val="0"/>
          <w:bCs w:val="0"/>
          <w:sz w:val="32"/>
          <w:szCs w:val="32"/>
          <w:lang w:val="en-US" w:eastAsia="zh-CN"/>
        </w:rPr>
        <w:t>扎实</w:t>
      </w:r>
      <w:r>
        <w:rPr>
          <w:rFonts w:hint="default" w:ascii="Times New Roman" w:hAnsi="Times New Roman" w:eastAsia="仿宋_GB2312" w:cs="Times New Roman"/>
          <w:b w:val="0"/>
          <w:bCs w:val="0"/>
          <w:sz w:val="32"/>
          <w:szCs w:val="32"/>
        </w:rPr>
        <w:t>开展股权优化工作，不断提升国有法人股占比。本年度未发生国有资产处置事项，无处置收益。</w:t>
      </w:r>
      <w:r>
        <w:rPr>
          <w:rFonts w:hint="default" w:ascii="Times New Roman" w:hAnsi="Times New Roman" w:eastAsia="仿宋_GB2312" w:cs="Times New Roman"/>
          <w:b/>
          <w:bCs/>
          <w:sz w:val="32"/>
          <w:szCs w:val="32"/>
          <w:lang w:val="en-US" w:eastAsia="zh-CN"/>
        </w:rPr>
        <w:t>二是加强</w:t>
      </w:r>
      <w:r>
        <w:rPr>
          <w:rFonts w:hint="default" w:ascii="Times New Roman" w:hAnsi="Times New Roman" w:eastAsia="仿宋_GB2312" w:cs="Times New Roman"/>
          <w:b/>
          <w:bCs/>
          <w:sz w:val="32"/>
          <w:szCs w:val="32"/>
        </w:rPr>
        <w:t>财务管理与合规经营。</w:t>
      </w:r>
      <w:r>
        <w:rPr>
          <w:rFonts w:hint="default" w:ascii="Times New Roman" w:hAnsi="Times New Roman" w:eastAsia="仿宋_GB2312" w:cs="Times New Roman"/>
          <w:b w:val="0"/>
          <w:bCs w:val="0"/>
          <w:sz w:val="32"/>
          <w:szCs w:val="32"/>
        </w:rPr>
        <w:t>联社</w:t>
      </w:r>
      <w:r>
        <w:rPr>
          <w:rFonts w:hint="default" w:ascii="Times New Roman" w:hAnsi="Times New Roman" w:eastAsia="仿宋_GB2312" w:cs="Times New Roman"/>
          <w:b w:val="0"/>
          <w:bCs w:val="0"/>
          <w:sz w:val="32"/>
          <w:szCs w:val="32"/>
          <w:lang w:val="en-US" w:eastAsia="zh-CN"/>
        </w:rPr>
        <w:t>坚持</w:t>
      </w:r>
      <w:r>
        <w:rPr>
          <w:rFonts w:hint="default" w:ascii="Times New Roman" w:hAnsi="Times New Roman" w:eastAsia="仿宋_GB2312" w:cs="Times New Roman"/>
          <w:b w:val="0"/>
          <w:bCs w:val="0"/>
          <w:sz w:val="32"/>
          <w:szCs w:val="32"/>
        </w:rPr>
        <w:t>每个会计年度聘请外部审计机构完成年度决算审计，</w:t>
      </w:r>
      <w:r>
        <w:rPr>
          <w:rFonts w:hint="default" w:ascii="Times New Roman" w:hAnsi="Times New Roman" w:eastAsia="仿宋_GB2312" w:cs="Times New Roman"/>
          <w:b w:val="0"/>
          <w:bCs w:val="0"/>
          <w:sz w:val="32"/>
          <w:szCs w:val="32"/>
          <w:lang w:val="en-US" w:eastAsia="zh-CN"/>
        </w:rPr>
        <w:t>确保</w:t>
      </w:r>
      <w:r>
        <w:rPr>
          <w:rFonts w:hint="default" w:ascii="Times New Roman" w:hAnsi="Times New Roman" w:eastAsia="仿宋_GB2312" w:cs="Times New Roman"/>
          <w:b w:val="0"/>
          <w:bCs w:val="0"/>
          <w:sz w:val="32"/>
          <w:szCs w:val="32"/>
        </w:rPr>
        <w:t>内控体系符合《金融企业财务规则》及各项监管要求。严格执行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三重一大</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集体决策程序，落实党委前置研究讨论程序</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全年召开党委会68次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召开制度管理委员会24次，审议通过75项新制度、修订28项现有制度，覆盖风险管理、内控流程、反洗钱等重点领域，形成系统化、标准化合规制度体系。</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rPr>
        <w:t>强化金融与实体经济良性循环。</w:t>
      </w:r>
      <w:r>
        <w:rPr>
          <w:rFonts w:hint="default" w:ascii="Times New Roman" w:hAnsi="Times New Roman" w:eastAsia="仿宋_GB2312" w:cs="Times New Roman"/>
          <w:b w:val="0"/>
          <w:bCs w:val="0"/>
          <w:sz w:val="32"/>
          <w:szCs w:val="32"/>
          <w:lang w:val="en-US" w:eastAsia="zh-CN"/>
        </w:rPr>
        <w:t>联社</w:t>
      </w:r>
      <w:r>
        <w:rPr>
          <w:rFonts w:hint="default" w:ascii="Times New Roman" w:hAnsi="Times New Roman" w:eastAsia="仿宋_GB2312" w:cs="Times New Roman"/>
          <w:b w:val="0"/>
          <w:bCs w:val="0"/>
          <w:sz w:val="32"/>
          <w:szCs w:val="32"/>
        </w:rPr>
        <w:t>积极服务实体经济，坚持服务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初心，不断提升服务质效。</w:t>
      </w:r>
      <w:r>
        <w:rPr>
          <w:rFonts w:hint="default" w:ascii="Times New Roman" w:hAnsi="Times New Roman" w:eastAsia="仿宋_GB2312" w:cs="Times New Roman"/>
          <w:b/>
          <w:bCs/>
          <w:sz w:val="32"/>
          <w:szCs w:val="32"/>
          <w:lang w:val="en-US" w:eastAsia="zh-CN"/>
        </w:rPr>
        <w:t>四是深化风险治理机制。</w:t>
      </w:r>
      <w:r>
        <w:rPr>
          <w:rFonts w:hint="default" w:ascii="Times New Roman" w:hAnsi="Times New Roman" w:eastAsia="仿宋_GB2312" w:cs="Times New Roman"/>
          <w:b w:val="0"/>
          <w:bCs w:val="0"/>
          <w:sz w:val="32"/>
          <w:szCs w:val="32"/>
          <w:lang w:val="en-US" w:eastAsia="zh-CN"/>
        </w:rPr>
        <w:t>联社积极处置不良贷款，压实风险处置责任，大力化解信贷风险。</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lang w:val="en-US" w:eastAsia="zh-CN"/>
        </w:rPr>
        <w:t>（三）行政事业性国有资产。</w:t>
      </w:r>
      <w:r>
        <w:rPr>
          <w:rFonts w:hint="default" w:ascii="Times New Roman" w:hAnsi="Times New Roman" w:eastAsia="仿宋_GB2312" w:cs="Times New Roman"/>
          <w:b/>
          <w:bCs/>
          <w:sz w:val="32"/>
          <w:szCs w:val="32"/>
          <w:lang w:val="en-US" w:eastAsia="zh-CN"/>
        </w:rPr>
        <w:t>一是健全管理制度。</w:t>
      </w:r>
      <w:r>
        <w:rPr>
          <w:rFonts w:hint="default" w:ascii="Times New Roman" w:hAnsi="Times New Roman" w:eastAsia="仿宋_GB2312" w:cs="Times New Roman"/>
          <w:b w:val="0"/>
          <w:bCs w:val="0"/>
          <w:sz w:val="32"/>
          <w:szCs w:val="32"/>
          <w:lang w:val="en-US" w:eastAsia="zh-CN"/>
        </w:rPr>
        <w:t>制定印发《额敏县行政事业性国有资产管理实施办法》（额政办发〔2024〕8号）、《额敏县行政事业单位国有资产配置、处置工作规程（暂行）》（额财字〔2024〕20号），对资产配置、使用、处置等方面提出基本要求，持续激发各行政事业单位主体责任，进一步规范资产配置、处置行为，做到资产管理有章可循。</w:t>
      </w:r>
      <w:r>
        <w:rPr>
          <w:rFonts w:hint="default" w:ascii="Times New Roman" w:hAnsi="Times New Roman" w:eastAsia="仿宋_GB2312" w:cs="Times New Roman"/>
          <w:b/>
          <w:bCs/>
          <w:sz w:val="32"/>
          <w:szCs w:val="32"/>
          <w:lang w:val="en-US" w:eastAsia="zh-CN"/>
        </w:rPr>
        <w:t>二是严把关口审批。</w:t>
      </w:r>
      <w:r>
        <w:rPr>
          <w:rFonts w:hint="default" w:ascii="Times New Roman" w:hAnsi="Times New Roman" w:eastAsia="仿宋_GB2312" w:cs="Times New Roman"/>
          <w:b w:val="0"/>
          <w:bCs w:val="0"/>
          <w:sz w:val="32"/>
          <w:szCs w:val="32"/>
          <w:lang w:val="en-US" w:eastAsia="zh-CN"/>
        </w:rPr>
        <w:t>不折不扣落实政府“过紧日子”要求，明确全县办公设备和家具等资产配置标准参照自治区配置标准执行，优先通过调剂方式配置资产，加强资产配置、处置审批监管。</w:t>
      </w:r>
      <w:r>
        <w:rPr>
          <w:rFonts w:hint="default" w:ascii="Times New Roman" w:hAnsi="Times New Roman" w:eastAsia="仿宋_GB2312" w:cs="Times New Roman"/>
          <w:b/>
          <w:bCs/>
          <w:sz w:val="32"/>
          <w:szCs w:val="32"/>
          <w:lang w:val="en-US" w:eastAsia="zh-CN"/>
        </w:rPr>
        <w:t>三是加大监督整改。</w:t>
      </w:r>
      <w:r>
        <w:rPr>
          <w:rFonts w:hint="default" w:ascii="Times New Roman" w:hAnsi="Times New Roman" w:eastAsia="仿宋_GB2312" w:cs="Times New Roman"/>
          <w:b w:val="0"/>
          <w:bCs w:val="0"/>
          <w:sz w:val="32"/>
          <w:szCs w:val="32"/>
          <w:lang w:val="en-US" w:eastAsia="zh-CN"/>
        </w:rPr>
        <w:t>认真做好行政事业单位资产月报、年报编制工作，依托资产管理信息系统，对全县资产管理数据进行日常“巡检”，督促各行政事业单位开展资产清查盘点、对账等工作，限期完成核实修正。</w:t>
      </w:r>
      <w:r>
        <w:rPr>
          <w:rFonts w:hint="default" w:ascii="Times New Roman" w:hAnsi="Times New Roman" w:eastAsia="仿宋_GB2312" w:cs="Times New Roman"/>
          <w:b/>
          <w:bCs/>
          <w:sz w:val="32"/>
          <w:szCs w:val="32"/>
          <w:lang w:val="en-US" w:eastAsia="zh-CN"/>
        </w:rPr>
        <w:t>四是强化盘活利用。</w:t>
      </w:r>
      <w:r>
        <w:rPr>
          <w:rFonts w:hint="default" w:ascii="Times New Roman" w:hAnsi="Times New Roman" w:eastAsia="仿宋_GB2312" w:cs="Times New Roman"/>
          <w:b w:val="0"/>
          <w:bCs w:val="0"/>
          <w:sz w:val="32"/>
          <w:szCs w:val="32"/>
          <w:lang w:val="en-US" w:eastAsia="zh-CN"/>
        </w:rPr>
        <w:t>积极落实《财政部关于盘活行政事业单位国有资产的指导意见》（财资〔2022〕124号），</w:t>
      </w:r>
      <w:r>
        <w:rPr>
          <w:rFonts w:hint="default" w:ascii="Times New Roman" w:hAnsi="Times New Roman" w:eastAsia="仿宋_GB2312" w:cs="Times New Roman"/>
          <w:b w:val="0"/>
          <w:bCs w:val="0"/>
          <w:kern w:val="2"/>
          <w:sz w:val="32"/>
          <w:szCs w:val="32"/>
          <w:lang w:val="en-US" w:eastAsia="zh-CN" w:bidi="ar-SA"/>
        </w:rPr>
        <w:t>截至2024年末，全县行政事业单位资产存量盘活取得资产收益1.12亿元。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highlight w:val="none"/>
          <w:lang w:val="en-US" w:eastAsia="zh-CN"/>
        </w:rPr>
        <w:t>（四）国有自然资源资产。</w:t>
      </w:r>
      <w:r>
        <w:rPr>
          <w:rFonts w:hint="default" w:ascii="Times New Roman" w:hAnsi="Times New Roman" w:eastAsia="仿宋_GB2312" w:cs="Times New Roman"/>
          <w:b/>
          <w:bCs/>
          <w:kern w:val="2"/>
          <w:sz w:val="32"/>
          <w:szCs w:val="32"/>
          <w:lang w:val="en-US" w:eastAsia="zh-CN" w:bidi="ar-SA"/>
        </w:rPr>
        <w:t>一是加强国有土地资源管理。</w:t>
      </w:r>
      <w:r>
        <w:rPr>
          <w:rFonts w:hint="default" w:ascii="Times New Roman" w:hAnsi="Times New Roman" w:eastAsia="仿宋_GB2312" w:cs="Times New Roman"/>
          <w:b w:val="0"/>
          <w:bCs w:val="0"/>
          <w:kern w:val="2"/>
          <w:sz w:val="32"/>
          <w:szCs w:val="32"/>
          <w:lang w:val="en-US" w:eastAsia="zh-CN" w:bidi="ar-SA"/>
        </w:rPr>
        <w:t>有序推进国土空间规划编制工作和控制性详细规划和乡镇国土空间规划、村庄规划编制工作实施。启动11个乡镇、116个村庄规划编制工作。着力化解历史遗留问题，按照《自然资源部关于加快解决不动产登记若干历史遗留问题的通知》，结合县政府印发的《关于妥善处理房屋和土地登记遗留问题的实施方案》，2024年解决2个小区1382余户群众急难愁盼问题，有效的维护群众合法权益。</w:t>
      </w:r>
      <w:r>
        <w:rPr>
          <w:rFonts w:hint="default" w:ascii="Times New Roman" w:hAnsi="Times New Roman" w:eastAsia="仿宋_GB2312" w:cs="Times New Roman"/>
          <w:b/>
          <w:bCs/>
          <w:kern w:val="2"/>
          <w:sz w:val="32"/>
          <w:szCs w:val="32"/>
          <w:lang w:val="en-US" w:eastAsia="zh-CN" w:bidi="ar-SA"/>
        </w:rPr>
        <w:t>二是强化森林资源管理。</w:t>
      </w:r>
      <w:r>
        <w:rPr>
          <w:rFonts w:hint="default" w:ascii="Times New Roman" w:hAnsi="Times New Roman" w:eastAsia="仿宋_GB2312" w:cs="Times New Roman"/>
          <w:b w:val="0"/>
          <w:bCs w:val="0"/>
          <w:kern w:val="2"/>
          <w:sz w:val="32"/>
          <w:szCs w:val="32"/>
          <w:lang w:val="en-US" w:eastAsia="zh-CN" w:bidi="ar-SA"/>
        </w:rPr>
        <w:t>完成退化林修复造林任务13600亩，县乡村三级巡林发现并解决问题2790次，设立林长制公示牌185块，积极组织森林草原防灭火应急演练，森林火灾年均受害率控制在0.8‰以下，未发生大的森林火灾。林业有害生物监测覆盖率达到100%，成灾率控制在8.2‰以下，无公害防治率达到90%以上，种苗产地检疫检验率达到100%。</w:t>
      </w:r>
      <w:r>
        <w:rPr>
          <w:rFonts w:hint="default" w:ascii="Times New Roman" w:hAnsi="Times New Roman" w:eastAsia="仿宋_GB2312" w:cs="Times New Roman"/>
          <w:b/>
          <w:bCs/>
          <w:kern w:val="2"/>
          <w:sz w:val="32"/>
          <w:szCs w:val="32"/>
          <w:lang w:val="en-US" w:eastAsia="zh-CN" w:bidi="ar-SA"/>
        </w:rPr>
        <w:t>三是强化矿产资源管理。</w:t>
      </w:r>
      <w:r>
        <w:rPr>
          <w:rFonts w:hint="default" w:ascii="Times New Roman" w:hAnsi="Times New Roman" w:eastAsia="仿宋_GB2312" w:cs="Times New Roman"/>
          <w:b w:val="0"/>
          <w:bCs w:val="0"/>
          <w:kern w:val="2"/>
          <w:sz w:val="32"/>
          <w:szCs w:val="32"/>
          <w:lang w:val="en-US" w:eastAsia="zh-CN" w:bidi="ar-SA"/>
        </w:rPr>
        <w:t>加强矿山生态修复工作，矿山企业建立矿山生态修复基金监管账户3家，督促矿山企业边开采边治理。加强非煤矿山领域安全生产巡查检查，严厉打击无证开采、越界开采严肃立案查处。积极为工程建设项目单位压覆重要矿产资源查询23件。</w:t>
      </w:r>
      <w:r>
        <w:rPr>
          <w:rFonts w:hint="default" w:ascii="Times New Roman" w:hAnsi="Times New Roman" w:eastAsia="仿宋_GB2312" w:cs="Times New Roman"/>
          <w:b/>
          <w:bCs/>
          <w:kern w:val="2"/>
          <w:sz w:val="32"/>
          <w:szCs w:val="32"/>
          <w:lang w:val="en-US" w:eastAsia="zh-CN" w:bidi="ar-SA"/>
        </w:rPr>
        <w:t>四是加强草原资源管理。</w:t>
      </w:r>
      <w:r>
        <w:rPr>
          <w:rFonts w:hint="default" w:ascii="Times New Roman" w:hAnsi="Times New Roman" w:eastAsia="仿宋_GB2312" w:cs="Times New Roman"/>
          <w:b w:val="0"/>
          <w:bCs w:val="0"/>
          <w:kern w:val="2"/>
          <w:sz w:val="32"/>
          <w:szCs w:val="32"/>
          <w:lang w:val="en-US" w:eastAsia="zh-CN" w:bidi="ar-SA"/>
        </w:rPr>
        <w:t>做好草蓄平衡工作，与18家单位、27个村队、7955户签订草畜平衡责任书，设立草蓄平衡宣传标识牌5个，将减畜任务落到实处。做好征占用工作，2024年共办理草原征占用35宗（其中县级审批18宗，地区审批17宗）。做好草原图斑核查工作，现已完成内业工作。做好病虫鼠害普查防治工作，完成虫害防治面积35万亩。做好动态监测、返青监测等日常监测工作，完成各项目区草场鉴定69个。</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三、国有资产管理存在的问题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非金融类国有</w:t>
      </w:r>
      <w:r>
        <w:rPr>
          <w:rFonts w:hint="default" w:ascii="Times New Roman" w:hAnsi="Times New Roman" w:eastAsia="楷体_GB2312" w:cs="Times New Roman"/>
          <w:b/>
          <w:bCs/>
          <w:sz w:val="32"/>
          <w:szCs w:val="32"/>
        </w:rPr>
        <w:t>企业</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bCs/>
          <w:kern w:val="2"/>
          <w:sz w:val="32"/>
          <w:szCs w:val="32"/>
          <w:lang w:val="en-US" w:eastAsia="zh-CN" w:bidi="ar-SA"/>
        </w:rPr>
        <w:t>一是国有企业产业经营、主责主业还不够清晰。</w:t>
      </w:r>
      <w:r>
        <w:rPr>
          <w:rFonts w:hint="default" w:ascii="Times New Roman" w:hAnsi="Times New Roman" w:eastAsia="仿宋_GB2312" w:cs="Times New Roman"/>
          <w:b w:val="0"/>
          <w:bCs w:val="0"/>
          <w:kern w:val="2"/>
          <w:sz w:val="32"/>
          <w:szCs w:val="32"/>
          <w:lang w:val="en-US" w:eastAsia="zh-CN" w:bidi="ar-SA"/>
        </w:rPr>
        <w:t>部分企业存在经营范围广泛、产业经营类别多样、特色不聚焦，存在“什么赚钱就做什么”的投机倾向，同质化竞争制约了企业可持续发展和国有资本效能发挥。</w:t>
      </w:r>
      <w:r>
        <w:rPr>
          <w:rFonts w:hint="default" w:ascii="Times New Roman" w:hAnsi="Times New Roman" w:eastAsia="仿宋_GB2312" w:cs="Times New Roman"/>
          <w:b/>
          <w:bCs/>
          <w:kern w:val="2"/>
          <w:sz w:val="32"/>
          <w:szCs w:val="32"/>
          <w:lang w:val="en-US" w:eastAsia="zh-CN" w:bidi="ar-SA"/>
        </w:rPr>
        <w:t>二是党建工作有待进一步强化，企业管理制度建设相对滞后。</w:t>
      </w:r>
      <w:r>
        <w:rPr>
          <w:rFonts w:hint="default" w:ascii="Times New Roman" w:hAnsi="Times New Roman" w:eastAsia="仿宋_GB2312" w:cs="Times New Roman"/>
          <w:b w:val="0"/>
          <w:bCs w:val="0"/>
          <w:kern w:val="2"/>
          <w:sz w:val="32"/>
          <w:szCs w:val="32"/>
          <w:lang w:val="en-US" w:eastAsia="zh-CN" w:bidi="ar-SA"/>
        </w:rPr>
        <w:t>虽然企业负责人和党组织书记实行“一肩挑”人数覆盖率接近100%，但在实际工作中，部分“一肩挑”人员存在重业务轻党建思想，现代企业管理制度建设方面存在短板，决策行政化制约了企业治理效能和高质量发展。</w:t>
      </w:r>
      <w:r>
        <w:rPr>
          <w:rFonts w:hint="default" w:ascii="Times New Roman" w:hAnsi="Times New Roman" w:eastAsia="仿宋_GB2312" w:cs="Times New Roman"/>
          <w:b/>
          <w:bCs/>
          <w:kern w:val="2"/>
          <w:sz w:val="32"/>
          <w:szCs w:val="32"/>
          <w:lang w:val="en-US" w:eastAsia="zh-CN" w:bidi="ar-SA"/>
        </w:rPr>
        <w:t>三是风险防控体系建设不到位，投资决策体系还不规范。</w:t>
      </w:r>
      <w:r>
        <w:rPr>
          <w:rFonts w:hint="default" w:ascii="Times New Roman" w:hAnsi="Times New Roman" w:eastAsia="仿宋_GB2312" w:cs="Times New Roman"/>
          <w:b w:val="0"/>
          <w:bCs w:val="0"/>
          <w:kern w:val="2"/>
          <w:sz w:val="32"/>
          <w:szCs w:val="32"/>
          <w:lang w:val="en-US" w:eastAsia="zh-CN" w:bidi="ar-SA"/>
        </w:rPr>
        <w:t>部分企业风险管理意识淡薄，缺乏科学完善的风险识别、评估和预警机制，对市场波动、行业周期等外部环境变化应对能力不足。</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rPr>
        <w:t>（二）国有金融企业资产</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bCs/>
          <w:sz w:val="32"/>
          <w:szCs w:val="32"/>
          <w:lang w:val="en-US" w:eastAsia="zh-CN"/>
        </w:rPr>
        <w:t>一是金融产品创新不足</w:t>
      </w:r>
      <w:r>
        <w:rPr>
          <w:rFonts w:hint="default" w:ascii="Times New Roman" w:hAnsi="Times New Roman" w:eastAsia="仿宋_GB2312" w:cs="Times New Roman"/>
          <w:b w:val="0"/>
          <w:bCs w:val="0"/>
          <w:sz w:val="32"/>
          <w:szCs w:val="32"/>
          <w:lang w:val="en-US" w:eastAsia="zh-CN"/>
        </w:rPr>
        <w:t>。农信社系统多以传统存贷款业务为主导，缺乏多元化收入来源和盈利增长点。另外受内部资源、技术能力和市场环境等因素限制，目前推出的创新性金融产品多以吸纳、移植同业金融产品为主，导致产品同质化现象，以及产品黏性不强。</w:t>
      </w:r>
      <w:r>
        <w:rPr>
          <w:rFonts w:hint="default" w:ascii="Times New Roman" w:hAnsi="Times New Roman" w:eastAsia="仿宋_GB2312" w:cs="Times New Roman"/>
          <w:b/>
          <w:bCs/>
          <w:sz w:val="32"/>
          <w:szCs w:val="32"/>
          <w:lang w:val="en-US" w:eastAsia="zh-CN"/>
        </w:rPr>
        <w:t>二是市场竞争压力增大。</w:t>
      </w:r>
      <w:r>
        <w:rPr>
          <w:rFonts w:hint="default" w:ascii="Times New Roman" w:hAnsi="Times New Roman" w:eastAsia="仿宋_GB2312" w:cs="Times New Roman"/>
          <w:b w:val="0"/>
          <w:bCs w:val="0"/>
          <w:sz w:val="32"/>
          <w:szCs w:val="32"/>
          <w:lang w:val="en-US" w:eastAsia="zh-CN"/>
        </w:rPr>
        <w:t>随着金融市场逐步开放和利率市场化深入推进，国有银行、股份制银行凭借其资本实力和业务网络优势，激烈争夺县域内金融市场中的优质客户资源，生存空间面临压缩与挑战。</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（三）行政事业性国有资产。</w:t>
      </w:r>
      <w:r>
        <w:rPr>
          <w:rFonts w:hint="default" w:ascii="Times New Roman" w:hAnsi="Times New Roman" w:eastAsia="仿宋_GB2312" w:cs="Times New Roman"/>
          <w:b/>
          <w:bCs/>
          <w:sz w:val="32"/>
          <w:szCs w:val="32"/>
          <w:lang w:val="en-US" w:eastAsia="zh-CN"/>
        </w:rPr>
        <w:t>一是管理机制还需完善。</w:t>
      </w:r>
      <w:r>
        <w:rPr>
          <w:rFonts w:hint="default" w:ascii="Times New Roman" w:hAnsi="Times New Roman" w:eastAsia="仿宋_GB2312" w:cs="Times New Roman"/>
          <w:b w:val="0"/>
          <w:bCs w:val="0"/>
          <w:sz w:val="32"/>
          <w:szCs w:val="32"/>
          <w:lang w:val="en-US" w:eastAsia="zh-CN"/>
        </w:rPr>
        <w:t>部分行政事业单位未按固定资产管理职能构建资产、财务、使用部门多方协调一致的联动管理机制，资产购置、使用和清查盘点制度落实不严格，资产管理缺乏连续稳定性，历史遗留问题较多。</w:t>
      </w:r>
      <w:r>
        <w:rPr>
          <w:rFonts w:hint="default" w:ascii="Times New Roman" w:hAnsi="Times New Roman" w:eastAsia="仿宋_GB2312" w:cs="Times New Roman"/>
          <w:b/>
          <w:bCs/>
          <w:sz w:val="32"/>
          <w:szCs w:val="32"/>
          <w:lang w:val="en-US" w:eastAsia="zh-CN"/>
        </w:rPr>
        <w:t>二是管理工作还需提高。</w:t>
      </w:r>
      <w:r>
        <w:rPr>
          <w:rFonts w:hint="default" w:ascii="Times New Roman" w:hAnsi="Times New Roman" w:eastAsia="仿宋_GB2312" w:cs="Times New Roman"/>
          <w:b w:val="0"/>
          <w:bCs w:val="0"/>
          <w:sz w:val="32"/>
          <w:szCs w:val="32"/>
          <w:lang w:val="en-US" w:eastAsia="zh-CN"/>
        </w:rPr>
        <w:t>部分行政事业单位虽然按照要求制定了内部管理制度，但在实际工作中受资产管理人员素质等多种因素影响，很多单位还存在重配置使用、轻管理管护的现象。</w:t>
      </w:r>
      <w:r>
        <w:rPr>
          <w:rFonts w:hint="default" w:ascii="Times New Roman" w:hAnsi="Times New Roman" w:eastAsia="仿宋_GB2312" w:cs="Times New Roman"/>
          <w:b/>
          <w:bCs/>
          <w:sz w:val="32"/>
          <w:szCs w:val="32"/>
          <w:lang w:val="en-US" w:eastAsia="zh-CN"/>
        </w:rPr>
        <w:t>三是管理绩效还需提升。</w:t>
      </w:r>
      <w:r>
        <w:rPr>
          <w:rFonts w:hint="default" w:ascii="Times New Roman" w:hAnsi="Times New Roman" w:eastAsia="仿宋_GB2312" w:cs="Times New Roman"/>
          <w:b w:val="0"/>
          <w:bCs w:val="0"/>
          <w:sz w:val="32"/>
          <w:szCs w:val="32"/>
          <w:lang w:val="en-US" w:eastAsia="zh-CN"/>
        </w:rPr>
        <w:t>部分行政事业单位资产管理人员大多身兼数职且岗位变动频繁，导致存在资产系统数据更新不及时、报表质量不高等问题，且资产管理大多停留在填报数据和报表上，家底不清等问题仍在一定范围内存在。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highlight w:val="none"/>
          <w:lang w:val="en-US" w:eastAsia="zh-CN"/>
        </w:rPr>
        <w:t>（四）国有自然资源资产。</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bCs/>
          <w:sz w:val="32"/>
          <w:szCs w:val="32"/>
          <w:lang w:val="en-US" w:eastAsia="zh-CN"/>
        </w:rPr>
        <w:t>习近平</w:t>
      </w:r>
      <w:bookmarkStart w:id="0" w:name="_GoBack"/>
      <w:bookmarkEnd w:id="0"/>
      <w:r>
        <w:rPr>
          <w:rFonts w:hint="default" w:ascii="Times New Roman" w:hAnsi="Times New Roman" w:eastAsia="仿宋_GB2312" w:cs="Times New Roman"/>
          <w:b/>
          <w:bCs/>
          <w:sz w:val="32"/>
          <w:szCs w:val="32"/>
          <w:lang w:val="en-US" w:eastAsia="zh-CN"/>
        </w:rPr>
        <w:t>生态文明思想认识还需深化，绿色发展理念不够到位。</w:t>
      </w:r>
      <w:r>
        <w:rPr>
          <w:rFonts w:hint="default" w:ascii="Times New Roman" w:hAnsi="Times New Roman" w:eastAsia="仿宋_GB2312" w:cs="Times New Roman"/>
          <w:b w:val="0"/>
          <w:bCs w:val="0"/>
          <w:sz w:val="32"/>
          <w:szCs w:val="32"/>
          <w:lang w:val="en-US" w:eastAsia="zh-CN"/>
        </w:rPr>
        <w:t>部分区域产业布局、资源开发利用还没有做到与生态环保一同谋划、一起部署、一体推进，和山水林田湖草“生命共同体”统一管护不相适应。</w:t>
      </w:r>
      <w:r>
        <w:rPr>
          <w:rFonts w:hint="default" w:ascii="Times New Roman" w:hAnsi="Times New Roman" w:eastAsia="仿宋_GB2312" w:cs="Times New Roman"/>
          <w:b/>
          <w:bCs/>
          <w:sz w:val="32"/>
          <w:szCs w:val="32"/>
          <w:lang w:val="en-US" w:eastAsia="zh-CN"/>
        </w:rPr>
        <w:t>二是自然资源资产监管还较薄弱，自然资源资产管理制度还需健全。</w:t>
      </w:r>
      <w:r>
        <w:rPr>
          <w:rFonts w:hint="default" w:ascii="Times New Roman" w:hAnsi="Times New Roman" w:eastAsia="仿宋_GB2312" w:cs="Times New Roman"/>
          <w:b w:val="0"/>
          <w:bCs w:val="0"/>
          <w:sz w:val="32"/>
          <w:szCs w:val="32"/>
          <w:lang w:val="en-US" w:eastAsia="zh-CN"/>
        </w:rPr>
        <w:t>自然资源违法用地屡禁不止，如群众耕地保护法律意识不强，部分群众法律意识淡薄，造成违法占用耕地建房。批而未供面积较大，大部分表现为未供即用，进一步处置困难。</w:t>
      </w:r>
      <w:r>
        <w:rPr>
          <w:rFonts w:hint="default" w:ascii="Times New Roman" w:hAnsi="Times New Roman" w:eastAsia="仿宋_GB2312" w:cs="Times New Roman"/>
          <w:b/>
          <w:bCs/>
          <w:sz w:val="32"/>
          <w:szCs w:val="32"/>
          <w:lang w:val="en-US" w:eastAsia="zh-CN"/>
        </w:rPr>
        <w:t>三是自然资源开发利用效率还有待提高。</w:t>
      </w:r>
      <w:r>
        <w:rPr>
          <w:rFonts w:hint="default" w:ascii="Times New Roman" w:hAnsi="Times New Roman" w:eastAsia="仿宋_GB2312" w:cs="Times New Roman"/>
          <w:b w:val="0"/>
          <w:bCs w:val="0"/>
          <w:sz w:val="32"/>
          <w:szCs w:val="32"/>
          <w:lang w:val="en-US" w:eastAsia="zh-CN"/>
        </w:rPr>
        <w:t>专业技术人才短缺现状越来越明显，因生态保护红线，水利管理范围线等因素影响，耕地后备资源稀缺，矿产一线监测点和监测人员不足能力不强，还有待进一步有效推进矿产资源的保护和有效利用。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四、上年度审议意见整改落实情况和审计查出问题整改落实情况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认真整改落实人大审议国有资产报告提出意见。对人大审议提出的“提高意识，增强国有资产规范管理重要性的认识”“摸清家底，加大对国有企业的管理力度”等意见，财政管理部门和其他国有资产具体监管部门通力合作充分履行职责抓好落实。</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b w:val="0"/>
          <w:bCs w:val="0"/>
          <w:sz w:val="32"/>
          <w:szCs w:val="32"/>
          <w:highlight w:val="none"/>
          <w:lang w:val="en-US" w:eastAsia="zh-CN"/>
        </w:rPr>
        <w:t>根据自治区、地区文件精神，县人民政府审议并印发《额敏县行政事业性国有资产管理实施办法》，进一步明确我县行政事业性国有资产管理责任和配置、使用、处置等要求。</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b w:val="0"/>
          <w:bCs w:val="0"/>
          <w:sz w:val="32"/>
          <w:szCs w:val="32"/>
          <w:highlight w:val="none"/>
          <w:lang w:val="en-US" w:eastAsia="zh-CN"/>
        </w:rPr>
        <w:t>严格落实向人大常委会报告国有资产管理情况制度要求。</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b w:val="0"/>
          <w:bCs w:val="0"/>
          <w:sz w:val="32"/>
          <w:szCs w:val="32"/>
          <w:highlight w:val="none"/>
          <w:lang w:val="en-US" w:eastAsia="zh-CN"/>
        </w:rPr>
        <w:t>聘请第三方中介机构进一步摸清全县国有企业资产债务，理顺监管运营体制，提高企业国有资产运营效率。</w:t>
      </w:r>
      <w:r>
        <w:rPr>
          <w:rFonts w:hint="default"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b w:val="0"/>
          <w:bCs w:val="0"/>
          <w:sz w:val="32"/>
          <w:szCs w:val="32"/>
          <w:highlight w:val="none"/>
          <w:lang w:val="en-US" w:eastAsia="zh-CN"/>
        </w:rPr>
        <w:t>完善管理机制，强化责任落实。</w:t>
      </w:r>
      <w:r>
        <w:rPr>
          <w:rFonts w:hint="default" w:ascii="Times New Roman" w:hAnsi="Times New Roman" w:eastAsia="仿宋_GB2312" w:cs="Times New Roman"/>
          <w:b/>
          <w:bCs/>
          <w:sz w:val="32"/>
          <w:szCs w:val="32"/>
          <w:highlight w:val="none"/>
          <w:lang w:val="en-US" w:eastAsia="zh-CN"/>
        </w:rPr>
        <w:t>五是</w:t>
      </w:r>
      <w:r>
        <w:rPr>
          <w:rFonts w:hint="default" w:ascii="Times New Roman" w:hAnsi="Times New Roman" w:eastAsia="仿宋_GB2312" w:cs="Times New Roman"/>
          <w:b w:val="0"/>
          <w:bCs w:val="0"/>
          <w:sz w:val="32"/>
          <w:szCs w:val="32"/>
          <w:highlight w:val="none"/>
          <w:lang w:val="en-US" w:eastAsia="zh-CN"/>
        </w:rPr>
        <w:t>开展行政事业单位清查工作，全面摸清资产底数。</w:t>
      </w:r>
      <w:r>
        <w:rPr>
          <w:rFonts w:hint="default" w:ascii="Times New Roman" w:hAnsi="Times New Roman" w:eastAsia="仿宋_GB2312" w:cs="Times New Roman"/>
          <w:b/>
          <w:bCs/>
          <w:sz w:val="32"/>
          <w:szCs w:val="32"/>
          <w:highlight w:val="none"/>
          <w:lang w:val="en-US" w:eastAsia="zh-CN"/>
        </w:rPr>
        <w:t>六是</w:t>
      </w:r>
      <w:r>
        <w:rPr>
          <w:rFonts w:hint="default" w:ascii="Times New Roman" w:hAnsi="Times New Roman" w:eastAsia="仿宋_GB2312" w:cs="Times New Roman"/>
          <w:b w:val="0"/>
          <w:bCs w:val="0"/>
          <w:sz w:val="32"/>
          <w:szCs w:val="32"/>
          <w:highlight w:val="none"/>
          <w:lang w:val="en-US" w:eastAsia="zh-CN"/>
        </w:rPr>
        <w:t>按照国家自然资源调查制度、标准和规范，建立健全国有自然资源资产台账，完善动态更新机制。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五、下一步工作安排</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（一）非金融类国有</w:t>
      </w:r>
      <w:r>
        <w:rPr>
          <w:rFonts w:hint="default" w:ascii="Times New Roman" w:hAnsi="Times New Roman" w:eastAsia="楷体_GB2312" w:cs="Times New Roman"/>
          <w:b/>
          <w:bCs/>
          <w:sz w:val="32"/>
          <w:szCs w:val="32"/>
        </w:rPr>
        <w:t>企业</w:t>
      </w:r>
      <w:r>
        <w:rPr>
          <w:rFonts w:hint="default" w:ascii="Times New Roman" w:hAnsi="Times New Roman" w:eastAsia="楷体_GB2312" w:cs="Times New Roman"/>
          <w:b/>
          <w:bCs/>
          <w:sz w:val="32"/>
          <w:szCs w:val="32"/>
          <w:lang w:val="en-US" w:eastAsia="zh-CN"/>
        </w:rPr>
        <w:t>资产。</w:t>
      </w:r>
      <w:r>
        <w:rPr>
          <w:rFonts w:hint="default" w:ascii="Times New Roman" w:hAnsi="Times New Roman" w:eastAsia="仿宋_GB2312" w:cs="Times New Roman"/>
          <w:b/>
          <w:bCs/>
          <w:sz w:val="32"/>
          <w:szCs w:val="32"/>
          <w:lang w:val="en-US" w:eastAsia="zh-CN"/>
        </w:rPr>
        <w:t>一是持续加强党的领导。</w:t>
      </w:r>
      <w:r>
        <w:rPr>
          <w:rFonts w:hint="default" w:ascii="Times New Roman" w:hAnsi="Times New Roman" w:eastAsia="仿宋_GB2312" w:cs="Times New Roman"/>
          <w:b w:val="0"/>
          <w:bCs w:val="0"/>
          <w:sz w:val="32"/>
          <w:szCs w:val="32"/>
          <w:lang w:val="en-US" w:eastAsia="zh-CN"/>
        </w:rPr>
        <w:t>聚焦党组织参与公司治理制度化、规范化，确保党组织在经营管理中真正发挥“把方向、管大局、保落实”作用。严格落实“党建入章”要求，明确党组织在公司治理结构中的法定地位，细化“三重一大”事项党组织前置研究讨论清单，确保重大经营管理事项必须经党组织研究讨论后，再由董事会或经理层作出决定。建立党组织决策事项跟踪督办机制，定期检查执行情况，确保党组织在企业重大决策、选人用人、风险防控等关键环节发挥把关定向作用，切实提升基层党组织的引领力和治理效能。</w:t>
      </w:r>
      <w:r>
        <w:rPr>
          <w:rFonts w:hint="default" w:ascii="Times New Roman" w:hAnsi="Times New Roman" w:eastAsia="仿宋_GB2312" w:cs="Times New Roman"/>
          <w:b/>
          <w:bCs/>
          <w:sz w:val="32"/>
          <w:szCs w:val="32"/>
          <w:lang w:val="en-US" w:eastAsia="zh-CN"/>
        </w:rPr>
        <w:t>二是推进县属国企专业化整合重组，打造差异化主业板块。</w:t>
      </w:r>
      <w:r>
        <w:rPr>
          <w:rFonts w:hint="default" w:ascii="Times New Roman" w:hAnsi="Times New Roman" w:eastAsia="仿宋_GB2312" w:cs="Times New Roman"/>
          <w:b w:val="0"/>
          <w:bCs w:val="0"/>
          <w:sz w:val="32"/>
          <w:szCs w:val="32"/>
          <w:lang w:val="en-US" w:eastAsia="zh-CN"/>
        </w:rPr>
        <w:t>按照“一企一主业”，对同质化竞争的公司实施战略性重组，明确各企业核心主业和发展方向，通过撤销合并、无偿划转、混合改制等方式消除同业竞争，实现集团化、集约化管理，集合优化资源，加强企业集团管控，建立现代企业制度，形成新体制、新机制，建成决策科学、权责明确、执行有力、有效制衡的法人治理结构，实现降低运营风险，提高运营效益，提升竞争能力。</w:t>
      </w:r>
      <w:r>
        <w:rPr>
          <w:rFonts w:hint="default" w:ascii="Times New Roman" w:hAnsi="Times New Roman" w:eastAsia="仿宋_GB2312" w:cs="Times New Roman"/>
          <w:b/>
          <w:bCs/>
          <w:sz w:val="32"/>
          <w:szCs w:val="32"/>
          <w:lang w:val="en-US" w:eastAsia="zh-CN"/>
        </w:rPr>
        <w:t>三是深化国资国企改革，进一步提高国资监管水平。</w:t>
      </w:r>
      <w:r>
        <w:rPr>
          <w:rFonts w:hint="default" w:ascii="Times New Roman" w:hAnsi="Times New Roman" w:eastAsia="仿宋_GB2312" w:cs="Times New Roman"/>
          <w:b w:val="0"/>
          <w:bCs w:val="0"/>
          <w:sz w:val="32"/>
          <w:szCs w:val="32"/>
          <w:lang w:val="en-US" w:eastAsia="zh-CN"/>
        </w:rPr>
        <w:t>紧紧围绕“国企改革、国资监管”两条主线，突出抓好完善现代企业制度，完善国有企业监督、评价、反馈工作，促进公司法人治理结构规范运行。完善国有企业监督管理体系，做到授权与监管相结合、放活与管好相统一，不断提高监管的系统性、针对性、有效性。</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（二）国有金融企业资产。</w:t>
      </w:r>
      <w:r>
        <w:rPr>
          <w:rFonts w:hint="default" w:ascii="Times New Roman" w:hAnsi="Times New Roman" w:eastAsia="仿宋_GB2312" w:cs="Times New Roman"/>
          <w:b w:val="0"/>
          <w:bCs w:val="0"/>
          <w:sz w:val="32"/>
          <w:szCs w:val="32"/>
          <w:lang w:val="en-US" w:eastAsia="zh-CN"/>
        </w:rPr>
        <w:t>额敏县联社将以习近平新时代中国特色社会主义思想为指导，深入贯彻落实党的二十大、中央关于经济和金融工作会议精神及自治区联社工作会议精神，聚焦“防风险、调结构、促改革、强管理”，强化党建引领，全面提升精细化管理及服务水平和效能，全力做好“科技金融、绿色金融、普惠金融、养老金融、数字金融”五篇大文章，努力推动额敏县联社高质量发展，确保实现国有资产保值增值。</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（三）行政事业性国有资产。</w:t>
      </w:r>
      <w:r>
        <w:rPr>
          <w:rFonts w:hint="default" w:ascii="Times New Roman" w:hAnsi="Times New Roman" w:eastAsia="仿宋_GB2312" w:cs="Times New Roman"/>
          <w:b/>
          <w:bCs/>
          <w:sz w:val="32"/>
          <w:szCs w:val="32"/>
          <w:lang w:val="en-US" w:eastAsia="zh-CN"/>
        </w:rPr>
        <w:t>一是落实资产管理职责，强化管理制度执行。</w:t>
      </w:r>
      <w:r>
        <w:rPr>
          <w:rFonts w:hint="default" w:ascii="Times New Roman" w:hAnsi="Times New Roman" w:eastAsia="仿宋_GB2312" w:cs="Times New Roman"/>
          <w:sz w:val="32"/>
          <w:szCs w:val="32"/>
          <w:lang w:val="en-US" w:eastAsia="zh-CN"/>
        </w:rPr>
        <w:t>进一步健全和完善资产管理制度，抓好《额敏县行政事业单位国有资产配置、处置工作规程（暂行）》（额财字〔2024〕20号）等资产管理文件的执行。</w:t>
      </w:r>
      <w:r>
        <w:rPr>
          <w:rFonts w:hint="default" w:ascii="Times New Roman" w:hAnsi="Times New Roman" w:eastAsia="仿宋_GB2312" w:cs="Times New Roman"/>
          <w:b/>
          <w:bCs/>
          <w:sz w:val="32"/>
          <w:szCs w:val="32"/>
          <w:lang w:val="en-US" w:eastAsia="zh-CN"/>
        </w:rPr>
        <w:t>二是夯实基础管理工作，确保家底清晰准确。</w:t>
      </w:r>
      <w:r>
        <w:rPr>
          <w:rFonts w:hint="default" w:ascii="Times New Roman" w:hAnsi="Times New Roman" w:eastAsia="仿宋_GB2312" w:cs="Times New Roman"/>
          <w:sz w:val="32"/>
          <w:szCs w:val="32"/>
          <w:lang w:val="en-US" w:eastAsia="zh-CN"/>
        </w:rPr>
        <w:t>督促各行政事业单位开展资产清查，严格资产登记，准确完整登记资产信息卡，加强资产动态管理，确保资产数据的准确性和完整性。</w:t>
      </w:r>
      <w:r>
        <w:rPr>
          <w:rFonts w:hint="default" w:ascii="Times New Roman" w:hAnsi="Times New Roman" w:eastAsia="仿宋_GB2312" w:cs="Times New Roman"/>
          <w:b/>
          <w:bCs/>
          <w:sz w:val="32"/>
          <w:szCs w:val="32"/>
          <w:lang w:val="en-US" w:eastAsia="zh-CN"/>
        </w:rPr>
        <w:t>三是规范资产管理行为，提升资产管理效果。</w:t>
      </w:r>
      <w:r>
        <w:rPr>
          <w:rFonts w:hint="default" w:ascii="Times New Roman" w:hAnsi="Times New Roman" w:eastAsia="仿宋_GB2312" w:cs="Times New Roman"/>
          <w:sz w:val="32"/>
          <w:szCs w:val="32"/>
          <w:lang w:val="en-US" w:eastAsia="zh-CN"/>
        </w:rPr>
        <w:t>督促各行政事业单位严格按照资产配置标准配置资产，严禁在资产闲置或对外出租出借的情况下配置同类资产，对于待报废资产严格按照规定履行报批程序后及时进行处置，处置收入及时上缴国库。</w:t>
      </w:r>
      <w:r>
        <w:rPr>
          <w:rFonts w:hint="default" w:ascii="Times New Roman" w:hAnsi="Times New Roman" w:eastAsia="仿宋_GB2312" w:cs="Times New Roman"/>
          <w:b/>
          <w:bCs/>
          <w:sz w:val="32"/>
          <w:szCs w:val="32"/>
          <w:lang w:val="en-US" w:eastAsia="zh-CN"/>
        </w:rPr>
        <w:t>四是推动资产盘活利用，提高资产使用效益。</w:t>
      </w:r>
      <w:r>
        <w:rPr>
          <w:rFonts w:hint="default" w:ascii="Times New Roman" w:hAnsi="Times New Roman" w:eastAsia="仿宋_GB2312" w:cs="Times New Roman"/>
          <w:sz w:val="32"/>
          <w:szCs w:val="32"/>
          <w:lang w:val="en-US" w:eastAsia="zh-CN"/>
        </w:rPr>
        <w:t>优化在用资产管理，推进资产共享共用，开展闲置低效资产处置工作，对难以调剂利用且不影响行政事业单位履职发展的低效闲置房产、设备物资等，按规定履行审批手续、开展资产评估，通过公开出售、按程序划转等途径，增加收入、节省支出，实现资产处置效益。单位暂时无需使用或没有产权证的低效闲置资产，通过资产出租的方式，履行相应审批手续后盘活资产。</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bCs/>
          <w:sz w:val="32"/>
          <w:szCs w:val="32"/>
          <w:lang w:val="en-US" w:eastAsia="zh-CN"/>
        </w:rPr>
        <w:t>（四）国有自然资源资产。</w:t>
      </w:r>
      <w:r>
        <w:rPr>
          <w:rFonts w:hint="default" w:ascii="Times New Roman" w:hAnsi="Times New Roman" w:eastAsia="仿宋_GB2312" w:cs="Times New Roman"/>
          <w:b/>
          <w:bCs/>
          <w:sz w:val="32"/>
          <w:szCs w:val="32"/>
          <w:lang w:val="en-US" w:eastAsia="zh-CN"/>
        </w:rPr>
        <w:t>一是完善规划编制，强化自然资源保护。</w:t>
      </w:r>
      <w:r>
        <w:rPr>
          <w:rFonts w:hint="default" w:ascii="Times New Roman" w:hAnsi="Times New Roman" w:eastAsia="仿宋_GB2312" w:cs="Times New Roman"/>
          <w:b w:val="0"/>
          <w:bCs w:val="0"/>
          <w:sz w:val="32"/>
          <w:szCs w:val="32"/>
          <w:lang w:val="en-US" w:eastAsia="zh-CN"/>
        </w:rPr>
        <w:t>根据自然资源厅、地区局关于县级国土空间总体规划成果修改要求，及时跟踪对接，进一步修改完善成果，按照上级确定的时间节点完成规划编制、审查、报批工作。抓紧时间推进乡镇国土空间规划编制工作，积极指导有条件村庄编制多规合一实用性村庄规划。加大存量土地处置力度。做好额敏县过渡期土地利用总体规划有条件建设区调整工作。继续发挥职能作用，做好建设项目及招商引资项目用地保障工作。</w:t>
      </w:r>
      <w:r>
        <w:rPr>
          <w:rFonts w:hint="default" w:ascii="Times New Roman" w:hAnsi="Times New Roman" w:eastAsia="仿宋_GB2312" w:cs="Times New Roman"/>
          <w:b/>
          <w:bCs/>
          <w:sz w:val="32"/>
          <w:szCs w:val="32"/>
          <w:lang w:val="en-US" w:eastAsia="zh-CN"/>
        </w:rPr>
        <w:t>二是坚持节约集约，有效促进资源开发利用。</w:t>
      </w:r>
      <w:r>
        <w:rPr>
          <w:rFonts w:hint="default" w:ascii="Times New Roman" w:hAnsi="Times New Roman" w:eastAsia="仿宋_GB2312" w:cs="Times New Roman"/>
          <w:b w:val="0"/>
          <w:bCs w:val="0"/>
          <w:sz w:val="32"/>
          <w:szCs w:val="32"/>
          <w:lang w:val="en-US" w:eastAsia="zh-CN"/>
        </w:rPr>
        <w:t>认真执行节约集约利用的各项规定，控制建设用地总量，加大产出效益。加大批而未供地块处置力度，强化建设用地批后监管工作。严格落实塔城地区自然资源系统业务工作管理监督“黄，红，黑牌”制度，加大存量土地处置力度，促进土地高效利用。加强耕地保护，采取长牙齿的硬措施，落实最严格的耕地保护制度，严守耕地红线。</w:t>
      </w:r>
      <w:r>
        <w:rPr>
          <w:rFonts w:hint="default" w:ascii="Times New Roman" w:hAnsi="Times New Roman" w:eastAsia="仿宋_GB2312" w:cs="Times New Roman"/>
          <w:b/>
          <w:bCs/>
          <w:sz w:val="32"/>
          <w:szCs w:val="32"/>
          <w:lang w:val="en-US" w:eastAsia="zh-CN"/>
        </w:rPr>
        <w:t>三是推进民生服务工作。</w:t>
      </w:r>
      <w:r>
        <w:rPr>
          <w:rFonts w:hint="default" w:ascii="Times New Roman" w:hAnsi="Times New Roman" w:eastAsia="仿宋_GB2312" w:cs="Times New Roman"/>
          <w:b w:val="0"/>
          <w:bCs w:val="0"/>
          <w:sz w:val="32"/>
          <w:szCs w:val="32"/>
          <w:lang w:val="en-US" w:eastAsia="zh-CN"/>
        </w:rPr>
        <w:t>深入推进不动产“交付即交证”工作，严格《额敏县不动产登记历史遗留解决办法方案》，继续优化办事流程、精简办事程序，有效保障办事群众的根本利益和权利。加强用地服务保障，完善重点项目快速保障机制，提升用地审批服务效能，确保项目用地应保尽保、及早落地。继续做好土地供应工作，做好全年土地招牌挂、划拨用地等供地工作。</w:t>
      </w:r>
      <w:r>
        <w:rPr>
          <w:rFonts w:hint="default" w:ascii="Times New Roman" w:hAnsi="Times New Roman" w:eastAsia="仿宋_GB2312" w:cs="Times New Roman"/>
          <w:b/>
          <w:bCs/>
          <w:sz w:val="32"/>
          <w:szCs w:val="32"/>
          <w:lang w:val="en-US" w:eastAsia="zh-CN"/>
        </w:rPr>
        <w:t>四是全面推进林草长制工作。</w:t>
      </w:r>
      <w:r>
        <w:rPr>
          <w:rFonts w:hint="default" w:ascii="Times New Roman" w:hAnsi="Times New Roman" w:eastAsia="仿宋_GB2312" w:cs="Times New Roman"/>
          <w:b w:val="0"/>
          <w:bCs w:val="0"/>
          <w:sz w:val="32"/>
          <w:szCs w:val="32"/>
          <w:lang w:val="en-US" w:eastAsia="zh-CN"/>
        </w:rPr>
        <w:t>坚持林草工作与乡村振兴战略有效衔接，重点做好河流、道路、沟渠、村庄绿化提升。全面加强新造林管护，探索建立管护激励政策，切实提高林木保存率和绿化效果。加强林木采伐和林、草地征占用审批管理，合理控制森林采伐限额，确保森林覆盖率稳定增长。做好森林、草原防火和病虫害防治工作。延伸林草产业链，提高林产品附加值。加快引进和培育林草龙头企业，盘活林草资产，推动林草增效、农牧民增收。</w:t>
      </w:r>
    </w:p>
    <w:sectPr>
      <w:footerReference r:id="rId3" w:type="default"/>
      <w:pgSz w:w="11905" w:h="16838"/>
      <w:pgMar w:top="2098" w:right="1474" w:bottom="1984" w:left="1474"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55C71"/>
    <w:rsid w:val="01BA62F8"/>
    <w:rsid w:val="027D7BB9"/>
    <w:rsid w:val="044E02B6"/>
    <w:rsid w:val="04D317F9"/>
    <w:rsid w:val="058A4DD6"/>
    <w:rsid w:val="07CC6020"/>
    <w:rsid w:val="07D3610A"/>
    <w:rsid w:val="09067755"/>
    <w:rsid w:val="0D3D0283"/>
    <w:rsid w:val="0DB85EB9"/>
    <w:rsid w:val="0E847D8C"/>
    <w:rsid w:val="0FC70F34"/>
    <w:rsid w:val="10B12C1D"/>
    <w:rsid w:val="111A3057"/>
    <w:rsid w:val="16B735FC"/>
    <w:rsid w:val="18B61F47"/>
    <w:rsid w:val="19986918"/>
    <w:rsid w:val="1AC95BF1"/>
    <w:rsid w:val="1AD70CFA"/>
    <w:rsid w:val="1BE21988"/>
    <w:rsid w:val="1C282044"/>
    <w:rsid w:val="1CB046F4"/>
    <w:rsid w:val="1DFF7502"/>
    <w:rsid w:val="1FB73F36"/>
    <w:rsid w:val="20CF7CB7"/>
    <w:rsid w:val="212D06C8"/>
    <w:rsid w:val="223A6BA1"/>
    <w:rsid w:val="241F2837"/>
    <w:rsid w:val="29425348"/>
    <w:rsid w:val="29963D78"/>
    <w:rsid w:val="2A3D4C95"/>
    <w:rsid w:val="2B2D28D6"/>
    <w:rsid w:val="2B82185B"/>
    <w:rsid w:val="2F20634F"/>
    <w:rsid w:val="2F712959"/>
    <w:rsid w:val="338B39D4"/>
    <w:rsid w:val="3544649B"/>
    <w:rsid w:val="36394A53"/>
    <w:rsid w:val="368B4949"/>
    <w:rsid w:val="37F3105F"/>
    <w:rsid w:val="3A871BAE"/>
    <w:rsid w:val="3B5E0AB4"/>
    <w:rsid w:val="3C251B76"/>
    <w:rsid w:val="3DA56D25"/>
    <w:rsid w:val="40AB3128"/>
    <w:rsid w:val="42723B65"/>
    <w:rsid w:val="42AF5451"/>
    <w:rsid w:val="430E4600"/>
    <w:rsid w:val="4333472A"/>
    <w:rsid w:val="43FD1027"/>
    <w:rsid w:val="454E40B3"/>
    <w:rsid w:val="46246DE9"/>
    <w:rsid w:val="47120B93"/>
    <w:rsid w:val="47141BE9"/>
    <w:rsid w:val="47D3559F"/>
    <w:rsid w:val="4C997A3F"/>
    <w:rsid w:val="4DEA149D"/>
    <w:rsid w:val="4DFA1BDE"/>
    <w:rsid w:val="4E343F72"/>
    <w:rsid w:val="4E6C5152"/>
    <w:rsid w:val="4E8F0E54"/>
    <w:rsid w:val="50F70294"/>
    <w:rsid w:val="520E6DA8"/>
    <w:rsid w:val="52165CE3"/>
    <w:rsid w:val="52CD09A0"/>
    <w:rsid w:val="52FA7653"/>
    <w:rsid w:val="563F7856"/>
    <w:rsid w:val="5836617E"/>
    <w:rsid w:val="595275C0"/>
    <w:rsid w:val="5A6A4730"/>
    <w:rsid w:val="5BBD48AA"/>
    <w:rsid w:val="5C413353"/>
    <w:rsid w:val="5DBC1B26"/>
    <w:rsid w:val="621D154A"/>
    <w:rsid w:val="668443C9"/>
    <w:rsid w:val="673B3ADF"/>
    <w:rsid w:val="67DE404D"/>
    <w:rsid w:val="69750C74"/>
    <w:rsid w:val="6A34025A"/>
    <w:rsid w:val="6B82418B"/>
    <w:rsid w:val="6FBF7B85"/>
    <w:rsid w:val="72206A7A"/>
    <w:rsid w:val="72C620EC"/>
    <w:rsid w:val="72E55C09"/>
    <w:rsid w:val="738F321F"/>
    <w:rsid w:val="750A4F54"/>
    <w:rsid w:val="785769A2"/>
    <w:rsid w:val="78955C71"/>
    <w:rsid w:val="793B4AB0"/>
    <w:rsid w:val="7A984D6B"/>
    <w:rsid w:val="7C762655"/>
    <w:rsid w:val="7F24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HTML Address"/>
    <w:basedOn w:val="1"/>
    <w:qFormat/>
    <w:uiPriority w:val="0"/>
    <w:rPr>
      <w:rFonts w:ascii="Times New Roman" w:hAnsi="Times New Roman" w:eastAsia="宋体" w:cs="Times New Roman"/>
      <w:i/>
      <w:iCs/>
      <w:szCs w:val="24"/>
    </w:rPr>
  </w:style>
  <w:style w:type="paragraph" w:styleId="4">
    <w:name w:val="Normal Indent"/>
    <w:basedOn w:val="1"/>
    <w:unhideWhenUsed/>
    <w:qFormat/>
    <w:uiPriority w:val="99"/>
    <w:pPr>
      <w:widowControl/>
      <w:spacing w:after="200" w:line="276" w:lineRule="auto"/>
      <w:ind w:firstLine="420" w:firstLineChars="200"/>
      <w:jc w:val="left"/>
    </w:pPr>
    <w:rPr>
      <w:rFonts w:ascii="Calibri" w:hAnsi="Calibri" w:eastAsia="Calibri" w:cs="黑体"/>
      <w:kern w:val="0"/>
      <w:sz w:val="22"/>
      <w:szCs w:val="22"/>
      <w:lang w:eastAsia="en-US" w:bidi="en-US"/>
    </w:rPr>
  </w:style>
  <w:style w:type="paragraph" w:styleId="5">
    <w:name w:val="Body Text"/>
    <w:basedOn w:val="1"/>
    <w:next w:val="1"/>
    <w:qFormat/>
    <w:uiPriority w:val="0"/>
    <w:pPr>
      <w:spacing w:after="120"/>
    </w:pPr>
    <w:rPr>
      <w:rFonts w:ascii="Times New Roman" w:hAnsi="Times New Roman" w:eastAsia="宋体"/>
      <w:sz w:val="21"/>
      <w:szCs w:val="24"/>
    </w:rPr>
  </w:style>
  <w:style w:type="paragraph" w:styleId="6">
    <w:name w:val="Body Text Indent 2"/>
    <w:basedOn w:val="1"/>
    <w:next w:val="5"/>
    <w:qFormat/>
    <w:uiPriority w:val="0"/>
    <w:pPr>
      <w:spacing w:after="120" w:afterLines="0" w:line="480" w:lineRule="auto"/>
      <w:ind w:left="420" w:leftChars="200"/>
    </w:pPr>
    <w:rPr>
      <w:rFonts w:eastAsia="方正仿宋简体"/>
      <w:kern w:val="2"/>
      <w:sz w:val="32"/>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_Style 2"/>
    <w:basedOn w:val="1"/>
    <w:qFormat/>
    <w:uiPriority w:val="34"/>
    <w:pPr>
      <w:ind w:firstLine="420" w:firstLineChars="200"/>
    </w:pPr>
  </w:style>
  <w:style w:type="paragraph" w:customStyle="1" w:styleId="12">
    <w:name w:val="TableOfAuthoring"/>
    <w:basedOn w:val="1"/>
    <w:next w:val="1"/>
    <w:semiHidden/>
    <w:qFormat/>
    <w:uiPriority w:val="0"/>
    <w:pPr>
      <w:ind w:left="420" w:leftChars="200"/>
      <w:jc w:val="both"/>
      <w:textAlignment w:val="baseline"/>
    </w:p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2025-08-25T02:30:00Z</dcterms:created>
  <dc:creator>Administrator</dc:creator>
  <cp:lastModifiedBy>Administrator</cp:lastModifiedBy>
  <cp:lastPrinted>2025-12-30T03:40:00Z</cp:lastPrinted>
  <dcterms:modified xsi:type="dcterms:W3CDTF">2026-01-05T04:08:08Z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D77BABEF804749A9AF08AC0AE201B02A</vt:lpwstr>
  </property>
</Properties>
</file>