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 xml:space="preserve">新疆塔城地区额敏县霍吉尔特乡牧业寄宿制学校2022年度部门决算公开说明 </w:t>
      </w:r>
    </w:p>
    <w:p>
      <w:pPr>
        <w:jc w:val="center"/>
        <w:rPr>
          <w:rFonts w:ascii="仿宋_GB2312" w:hAnsi="仿宋_GB2312" w:eastAsia="仿宋_GB2312" w:cs="仿宋_GB2312"/>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sz w:val="32"/>
          <w:szCs w:val="32"/>
        </w:rPr>
        <w:t>第一部分 单位概况</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kern w:val="0"/>
          <w:sz w:val="32"/>
          <w:szCs w:val="32"/>
        </w:rPr>
        <w:t>一、主要职能</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kern w:val="0"/>
          <w:sz w:val="32"/>
          <w:szCs w:val="32"/>
        </w:rPr>
        <w:t>二、机构设置及人员情况</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sz w:val="32"/>
          <w:szCs w:val="32"/>
        </w:rPr>
        <w:t>第二部分 部门决算情况说明</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kern w:val="0"/>
          <w:sz w:val="32"/>
          <w:szCs w:val="32"/>
        </w:rPr>
        <w:t>一、收入支出决算总体情况说明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kern w:val="0"/>
          <w:sz w:val="32"/>
          <w:szCs w:val="32"/>
        </w:rPr>
        <w:t>二、收入决算情况说明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kern w:val="0"/>
          <w:sz w:val="32"/>
          <w:szCs w:val="32"/>
        </w:rPr>
        <w:t>三、支出决算情况说明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kern w:val="0"/>
          <w:sz w:val="32"/>
          <w:szCs w:val="32"/>
        </w:rPr>
        <w:t>四、财政拨款收入支出决算总体情况说明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kern w:val="0"/>
          <w:sz w:val="32"/>
          <w:szCs w:val="32"/>
        </w:rPr>
        <w:t>五、一般公共预算财政拨款支出决算情况说明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kern w:val="0"/>
          <w:sz w:val="32"/>
          <w:szCs w:val="32"/>
        </w:rPr>
        <w:t>六、一般公共预算财政拨款基本支出决算情况说明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kern w:val="0"/>
          <w:sz w:val="32"/>
          <w:szCs w:val="32"/>
        </w:rPr>
        <w:t>七、财政拨款“三公”经费支出决算情况说明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八、政府性基金预算财政拨款收入支出决算情况说明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九、国有资本经营预算财政拨款收入支出决算情况说明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kern w:val="0"/>
          <w:sz w:val="32"/>
          <w:szCs w:val="32"/>
        </w:rPr>
        <w:t>十、其他重要事项的情况说明</w:t>
      </w:r>
      <w:r>
        <w:rPr>
          <w:rFonts w:hint="eastAsia" w:ascii="仿宋_GB2312" w:hAnsi="仿宋_GB2312" w:eastAsia="仿宋_GB2312" w:cs="仿宋_GB2312"/>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kern w:val="0"/>
          <w:sz w:val="32"/>
          <w:szCs w:val="32"/>
        </w:rPr>
        <w:t>十一、预算绩效的情况说明</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sz w:val="32"/>
          <w:szCs w:val="32"/>
        </w:rPr>
        <w:t>第三部分 专业名词解释</w:t>
      </w:r>
      <w:r>
        <w:rPr>
          <w:rFonts w:hint="eastAsia" w:ascii="仿宋_GB2312" w:hAnsi="仿宋_GB2312" w:eastAsia="仿宋_GB2312" w:cs="仿宋_GB2312"/>
          <w:b/>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sz w:val="32"/>
          <w:szCs w:val="32"/>
        </w:rPr>
        <w:t>第四部分 部门决算报表（见附表）</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kern w:val="0"/>
          <w:sz w:val="32"/>
          <w:szCs w:val="32"/>
        </w:rPr>
        <w:t>一、《收入支出决算总表》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kern w:val="0"/>
          <w:sz w:val="32"/>
          <w:szCs w:val="32"/>
        </w:rPr>
        <w:t>二、《收入决算表》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kern w:val="0"/>
          <w:sz w:val="32"/>
          <w:szCs w:val="32"/>
        </w:rPr>
        <w:t>三、《支出决算表》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kern w:val="0"/>
          <w:sz w:val="32"/>
          <w:szCs w:val="32"/>
        </w:rPr>
        <w:t>四、《财政拨款收入支出决算总表》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kern w:val="0"/>
          <w:sz w:val="32"/>
          <w:szCs w:val="32"/>
        </w:rPr>
        <w:t>五、《一般公共预算财政拨款支出决算表》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kern w:val="0"/>
          <w:sz w:val="32"/>
          <w:szCs w:val="32"/>
        </w:rPr>
        <w:t>六、《一般公共预算财政拨款基本支出决算表》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kern w:val="0"/>
          <w:sz w:val="32"/>
          <w:szCs w:val="32"/>
        </w:rPr>
        <w:t>七、《财政拨款“三公”经费支出决算表》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八、《政府性基金预算财政拨款收入支出决算表》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九、《国有资本经营预算财政拨款收入支出决算表》</w:t>
      </w:r>
      <w:r>
        <w:rPr>
          <w:rFonts w:hint="eastAsia" w:ascii="仿宋_GB2312" w:hAnsi="仿宋_GB2312" w:eastAsia="仿宋_GB2312" w:cs="仿宋_GB2312"/>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kern w:val="0"/>
          <w:sz w:val="32"/>
          <w:szCs w:val="32"/>
        </w:rPr>
      </w:pPr>
      <w:bookmarkStart w:id="2" w:name="_Toc30738"/>
      <w:bookmarkStart w:id="3" w:name="_Toc30567"/>
      <w:r>
        <w:rPr>
          <w:rFonts w:hint="eastAsia" w:ascii="黑体" w:hAnsi="黑体" w:eastAsia="黑体" w:cs="宋体"/>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1、负责学校教育教学业务的具体管理，宣传贯彻执行党和国家的教育方针、政策和法律法规及上级行政部门的行政规章。</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2、贯彻执行国家教育政策、法规，落实义务教育阶段教学计划，完成相应的教育教学工作任务。 </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3、做好学生的后勤服务安全保障，</w:t>
      </w:r>
      <w:bookmarkStart w:id="54" w:name="_GoBack"/>
      <w:bookmarkEnd w:id="54"/>
      <w:r>
        <w:rPr>
          <w:rFonts w:hint="eastAsia" w:ascii="仿宋_GB2312" w:eastAsia="仿宋_GB2312"/>
          <w:sz w:val="32"/>
          <w:szCs w:val="32"/>
        </w:rPr>
        <w:t>营养改善工作，确保学生身心健康发展。</w:t>
      </w:r>
    </w:p>
    <w:p>
      <w:pPr>
        <w:ind w:firstLine="640" w:firstLineChars="200"/>
        <w:outlineLvl w:val="1"/>
        <w:rPr>
          <w:rFonts w:ascii="黑体" w:hAnsi="黑体" w:eastAsia="黑体" w:cs="宋体"/>
          <w:kern w:val="0"/>
          <w:sz w:val="32"/>
          <w:szCs w:val="32"/>
        </w:rPr>
      </w:pPr>
      <w:bookmarkStart w:id="4" w:name="_Toc31238"/>
      <w:bookmarkStart w:id="5" w:name="_Toc2151"/>
      <w:r>
        <w:rPr>
          <w:rFonts w:hint="eastAsia" w:ascii="黑体" w:hAnsi="黑体" w:eastAsia="黑体" w:cs="宋体"/>
          <w:kern w:val="0"/>
          <w:sz w:val="32"/>
          <w:szCs w:val="32"/>
        </w:rPr>
        <w:t>二、机构设置及</w:t>
      </w:r>
      <w:bookmarkEnd w:id="4"/>
      <w:r>
        <w:rPr>
          <w:rFonts w:hint="eastAsia" w:ascii="黑体" w:hAnsi="黑体" w:eastAsia="黑体" w:cs="宋体"/>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新疆塔城地区额敏县霍吉尔特乡牧业寄宿制学校2022年度，实有人数254人，其中：在职人员149人，离休人员1人，退休人员104人。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从部门决算单位构成看，新疆塔城地区额敏县霍吉尔特乡牧业寄宿制学校部门决算包括：新疆塔城地区额敏县霍吉尔特乡牧业寄宿制学校决算。单位无下属预算单位，下设</w:t>
      </w:r>
      <w:r>
        <w:rPr>
          <w:rFonts w:hint="eastAsia" w:ascii="仿宋_GB2312" w:eastAsia="仿宋_GB2312"/>
          <w:sz w:val="32"/>
          <w:szCs w:val="32"/>
          <w:lang w:val="en-US" w:eastAsia="zh-CN"/>
        </w:rPr>
        <w:t>6</w:t>
      </w:r>
      <w:r>
        <w:rPr>
          <w:rFonts w:hint="eastAsia" w:ascii="仿宋_GB2312" w:eastAsia="仿宋_GB2312"/>
          <w:sz w:val="32"/>
          <w:szCs w:val="32"/>
        </w:rPr>
        <w:t>个处室，分别是：电教办、安全办、财务室、总务室、小学文科办公室、小学理科办公室。</w:t>
      </w:r>
    </w:p>
    <w:p>
      <w:pPr>
        <w:ind w:firstLine="562" w:firstLineChars="200"/>
        <w:jc w:val="center"/>
        <w:outlineLvl w:val="0"/>
        <w:rPr>
          <w:rFonts w:ascii="黑体" w:hAnsi="黑体" w:eastAsia="黑体"/>
          <w:sz w:val="32"/>
          <w:szCs w:val="32"/>
        </w:rPr>
      </w:pPr>
      <w:bookmarkStart w:id="6" w:name="_Toc3092"/>
      <w:bookmarkStart w:id="7" w:name="_Toc29374"/>
      <w:r>
        <w:rPr>
          <w:rFonts w:ascii="黑体"/>
          <w:b/>
          <w:kern w:val="44"/>
          <w:sz w:val="28"/>
        </w:rPr>
        <w:br w:type="page"/>
      </w:r>
      <w:r>
        <w:rPr>
          <w:rFonts w:ascii="黑体"/>
          <w:b/>
          <w:spacing w:val="40"/>
          <w:sz w:val="28"/>
        </w:rPr>
        <w:t xml:space="preserve"> </w:t>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kern w:val="0"/>
          <w:sz w:val="32"/>
          <w:szCs w:val="32"/>
        </w:rPr>
      </w:pPr>
      <w:bookmarkStart w:id="8" w:name="_Toc25314"/>
      <w:bookmarkStart w:id="9" w:name="_Toc12566"/>
      <w:r>
        <w:rPr>
          <w:rFonts w:hint="eastAsia" w:ascii="黑体" w:hAnsi="黑体" w:eastAsia="黑体" w:cs="宋体"/>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2022年度收入总计2,716.10万元，其中：本年收入合计2,716.10万元，使用非财政拨款结余0.00万元，年初结转和结余0.00万元。收入总计与上年相比，增加551.85万元，增长25.50%，主要原因是：2022年调整工资津贴，发放2017年，2020年绩效工资，人员经费增加。调整工资津贴，社保医保住房缴费基数增大，缴费增加，收入与上年相比增加。</w:t>
      </w:r>
    </w:p>
    <w:p>
      <w:pPr>
        <w:ind w:firstLine="640" w:firstLineChars="200"/>
        <w:rPr>
          <w:rFonts w:ascii="仿宋_GB2312" w:eastAsia="仿宋_GB2312"/>
          <w:sz w:val="32"/>
          <w:szCs w:val="32"/>
        </w:rPr>
      </w:pPr>
      <w:r>
        <w:rPr>
          <w:rFonts w:hint="eastAsia" w:ascii="仿宋_GB2312" w:eastAsia="仿宋_GB2312"/>
          <w:sz w:val="32"/>
          <w:szCs w:val="32"/>
        </w:rPr>
        <w:t>本年支出总计2,716.10万元，其中：本年支出合计2,716.10万元，结余分配0.00万元，年末结转和结余0.00万元。支出总计与上年相比，增加551.85万元，增长25.50%，主要原因是：2022年调整工资津贴，发放2017年，2020年绩效工资，人员经费增加。调整工资津贴，社保医保住房缴费基数增大，缴费增加，支出与上年相比增加。</w:t>
      </w:r>
    </w:p>
    <w:p>
      <w:pPr>
        <w:ind w:firstLine="640" w:firstLineChars="200"/>
        <w:outlineLvl w:val="1"/>
        <w:rPr>
          <w:rFonts w:ascii="黑体" w:hAnsi="黑体" w:eastAsia="黑体" w:cs="宋体"/>
          <w:kern w:val="0"/>
          <w:sz w:val="32"/>
          <w:szCs w:val="32"/>
        </w:rPr>
      </w:pPr>
      <w:bookmarkStart w:id="10" w:name="_Toc12142"/>
      <w:bookmarkStart w:id="11" w:name="_Toc1979"/>
      <w:r>
        <w:rPr>
          <w:rFonts w:hint="eastAsia" w:ascii="黑体" w:hAnsi="黑体" w:eastAsia="黑体" w:cs="宋体"/>
          <w:kern w:val="0"/>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2022年度本年收入2,716.10万元，其中：财政拨款收入2,716.10万元，占100.00%；上级补助收入0.00万元，占0.00%；事业收入0.00万元，占0.00%；经营收入0.00万元，占0.00%；附属单位上缴收入0.00万元，占0.00%；其他收入0.00万元，占0.00%。</w:t>
      </w:r>
    </w:p>
    <w:p>
      <w:pPr>
        <w:ind w:firstLine="640" w:firstLineChars="200"/>
        <w:rPr>
          <w:rFonts w:ascii="仿宋_GB2312" w:eastAsia="仿宋_GB2312"/>
          <w:sz w:val="32"/>
          <w:szCs w:val="32"/>
        </w:rPr>
      </w:pPr>
    </w:p>
    <w:p>
      <w:pPr>
        <w:ind w:firstLine="640" w:firstLineChars="200"/>
        <w:outlineLvl w:val="1"/>
        <w:rPr>
          <w:rFonts w:ascii="黑体" w:hAnsi="黑体" w:eastAsia="黑体" w:cs="宋体"/>
          <w:kern w:val="0"/>
          <w:sz w:val="32"/>
          <w:szCs w:val="32"/>
        </w:rPr>
      </w:pPr>
      <w:bookmarkStart w:id="12" w:name="_Toc27961"/>
      <w:bookmarkStart w:id="13" w:name="_Toc13201"/>
      <w:r>
        <w:rPr>
          <w:rFonts w:hint="eastAsia" w:ascii="黑体" w:hAnsi="黑体" w:eastAsia="黑体" w:cs="宋体"/>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2022年度本年支出2,716.10万元，其中：基本支出2,605.89万元，占95.94%；项目支出110.21万元，占4.06%；上缴上级支出0.00万元，占0.00%；经营支出0.00万元，占0.00%；对附属单位补助支出0.00万元，占0.00%。</w:t>
      </w:r>
    </w:p>
    <w:p>
      <w:pPr>
        <w:ind w:firstLine="640" w:firstLineChars="200"/>
        <w:outlineLvl w:val="1"/>
        <w:rPr>
          <w:rFonts w:ascii="黑体" w:hAnsi="黑体" w:eastAsia="黑体" w:cs="宋体"/>
          <w:kern w:val="0"/>
          <w:sz w:val="32"/>
          <w:szCs w:val="32"/>
        </w:rPr>
      </w:pPr>
      <w:bookmarkStart w:id="14" w:name="_Toc4393"/>
      <w:bookmarkStart w:id="15" w:name="_Toc26564"/>
      <w:r>
        <w:rPr>
          <w:rFonts w:hint="eastAsia" w:ascii="黑体" w:hAnsi="黑体" w:eastAsia="黑体" w:cs="宋体"/>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2022年度财政拨款收入总计2,716.10万元，其中：年初财政拨款结转和结余0.00万元，财政拨款本年收入2,716.10万元。财政拨款收入总计与上年相比，增加551.85万元，增长25.50%，主要原因是：2022年调整工资津贴，发放2017年，2020年绩效工资，人员经费增加。调整工资津贴，社保医保住房缴费基数增大，缴费增加、财政拨款收入与上年相比增加。</w:t>
      </w:r>
    </w:p>
    <w:p>
      <w:pPr>
        <w:ind w:firstLine="640" w:firstLineChars="200"/>
        <w:rPr>
          <w:rFonts w:ascii="仿宋_GB2312" w:eastAsia="仿宋_GB2312"/>
          <w:sz w:val="32"/>
          <w:szCs w:val="32"/>
        </w:rPr>
      </w:pPr>
      <w:r>
        <w:rPr>
          <w:rFonts w:hint="eastAsia" w:ascii="仿宋_GB2312" w:eastAsia="仿宋_GB2312"/>
          <w:sz w:val="32"/>
          <w:szCs w:val="32"/>
        </w:rPr>
        <w:t>财政拨款支出总计2,716.10万元，其中：年末财政拨款结转和结余0.00万元，财政拨款本年支出2,716.10万元。财政拨款支出总计与上年相比，增加551.85万元，增长25.50%，主要原因是：2022年调整工资津贴，发放2017年，2020年绩效工资，人员经费增加。调整工资津贴，社保医保住房缴费基数增大，缴费增加，财政拨款支出与上年相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2,427.41万元，决算数2,716.10万元，预决算差异率11.89%，主要原因是：1、2022年调整人员工资津贴，发放2017年，2020年绩效工资，年中追加预算。2、调整工资津贴，社保医保住房缴费基数增大，缴费增加，年中追加预算,故预决算存在差异。财政拨款支出总计年初预算数2,427.41万元，决算数2,716.10万元，预决算差异率11.89%，主要原因是：1、2022年调整人员工资津贴，发放2017年，2020年绩效工资，年中追加预算。2、调整工资津贴，社保医保住房缴费基数增大，缴费增加，年中追加预算,故预决算存在差异。</w:t>
      </w:r>
    </w:p>
    <w:p>
      <w:pPr>
        <w:ind w:firstLine="640" w:firstLineChars="200"/>
        <w:outlineLvl w:val="1"/>
        <w:rPr>
          <w:rFonts w:ascii="黑体" w:hAnsi="黑体" w:eastAsia="黑体" w:cs="宋体"/>
          <w:kern w:val="0"/>
          <w:sz w:val="32"/>
          <w:szCs w:val="32"/>
        </w:rPr>
      </w:pPr>
      <w:bookmarkStart w:id="16" w:name="_Toc20360"/>
      <w:bookmarkStart w:id="17" w:name="_Toc13833"/>
      <w:r>
        <w:rPr>
          <w:rFonts w:hint="eastAsia" w:ascii="黑体" w:hAnsi="黑体" w:eastAsia="黑体" w:cs="宋体"/>
          <w:kern w:val="0"/>
          <w:sz w:val="32"/>
          <w:szCs w:val="32"/>
        </w:rPr>
        <w:t>五、一般公共预算财政拨款支出决算情况说明</w:t>
      </w:r>
      <w:bookmarkEnd w:id="16"/>
      <w:bookmarkEnd w:id="17"/>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支出2,716.10万元，占本年支出合计的100.00%，与上年相比，增加551.85万元，增长25.50%，主要原因是：2022年调整工资津贴，发放2017年，2020年绩效工资，人员经费增加。调整工资津贴，社保医保住房缴费基数增大，缴费增加。一般公共预算财政拨款支出比上年增加。</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（二）一般公共预算财政拨款支出决算结构情况</w:t>
      </w:r>
    </w:p>
    <w:p>
      <w:pPr>
        <w:ind w:firstLine="640" w:firstLineChars="200"/>
        <w:rPr>
          <w:rFonts w:ascii="仿宋_GB2312" w:eastAsia="仿宋_GB2312"/>
          <w:sz w:val="32"/>
          <w:szCs w:val="32"/>
        </w:rPr>
      </w:pPr>
      <w:r>
        <w:rPr>
          <w:rFonts w:hint="eastAsia" w:ascii="仿宋_GB2312" w:eastAsia="仿宋_GB2312"/>
          <w:sz w:val="32"/>
          <w:szCs w:val="32"/>
        </w:rPr>
        <w:t>1.一般公共服务支出（类）1.59万元，占0.06%。</w:t>
      </w:r>
    </w:p>
    <w:p>
      <w:pPr>
        <w:ind w:firstLine="640" w:firstLineChars="200"/>
        <w:rPr>
          <w:rFonts w:ascii="仿宋_GB2312" w:eastAsia="仿宋_GB2312"/>
          <w:sz w:val="32"/>
          <w:szCs w:val="32"/>
        </w:rPr>
      </w:pPr>
      <w:r>
        <w:rPr>
          <w:rFonts w:hint="eastAsia" w:ascii="仿宋_GB2312" w:eastAsia="仿宋_GB2312"/>
          <w:sz w:val="32"/>
          <w:szCs w:val="32"/>
        </w:rPr>
        <w:t>2.教育支出（类）2,083.99万元，占76.73%。</w:t>
      </w:r>
    </w:p>
    <w:p>
      <w:pPr>
        <w:ind w:firstLine="640" w:firstLineChars="200"/>
        <w:rPr>
          <w:rFonts w:ascii="仿宋_GB2312" w:eastAsia="仿宋_GB2312"/>
          <w:sz w:val="32"/>
          <w:szCs w:val="32"/>
        </w:rPr>
      </w:pPr>
      <w:r>
        <w:rPr>
          <w:rFonts w:hint="eastAsia" w:ascii="仿宋_GB2312" w:eastAsia="仿宋_GB2312"/>
          <w:sz w:val="32"/>
          <w:szCs w:val="32"/>
        </w:rPr>
        <w:t>3.社会保障和就业支出（类）350.61万元，占12.91%。</w:t>
      </w:r>
    </w:p>
    <w:p>
      <w:pPr>
        <w:ind w:firstLine="640" w:firstLineChars="200"/>
        <w:rPr>
          <w:rFonts w:ascii="仿宋_GB2312" w:eastAsia="仿宋_GB2312"/>
          <w:sz w:val="32"/>
          <w:szCs w:val="32"/>
        </w:rPr>
      </w:pPr>
      <w:r>
        <w:rPr>
          <w:rFonts w:hint="eastAsia" w:ascii="仿宋_GB2312" w:eastAsia="仿宋_GB2312"/>
          <w:sz w:val="32"/>
          <w:szCs w:val="32"/>
        </w:rPr>
        <w:t>4.卫生健康支出（类）102.00万元，占3.76%。</w:t>
      </w:r>
    </w:p>
    <w:p>
      <w:pPr>
        <w:ind w:firstLine="640" w:firstLineChars="200"/>
        <w:rPr>
          <w:rFonts w:ascii="仿宋_GB2312" w:eastAsia="仿宋_GB2312"/>
          <w:sz w:val="32"/>
          <w:szCs w:val="32"/>
        </w:rPr>
      </w:pPr>
      <w:r>
        <w:rPr>
          <w:rFonts w:hint="eastAsia" w:ascii="仿宋_GB2312" w:eastAsia="仿宋_GB2312"/>
          <w:sz w:val="32"/>
          <w:szCs w:val="32"/>
        </w:rPr>
        <w:t>5.住房保障支出（类）177.92万元，占6.5</w:t>
      </w:r>
      <w:r>
        <w:rPr>
          <w:rFonts w:hint="eastAsia" w:ascii="仿宋_GB2312" w:eastAsia="仿宋_GB2312"/>
          <w:sz w:val="32"/>
          <w:szCs w:val="32"/>
          <w:lang w:val="en-US" w:eastAsia="zh-CN"/>
        </w:rPr>
        <w:t>4</w:t>
      </w:r>
      <w:r>
        <w:rPr>
          <w:rFonts w:hint="eastAsia" w:ascii="仿宋_GB2312" w:eastAsia="仿宋_GB2312"/>
          <w:sz w:val="32"/>
          <w:szCs w:val="32"/>
        </w:rPr>
        <w:t>%。</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（三）一般公共预算财政拨款支出决算具体情况</w:t>
      </w:r>
    </w:p>
    <w:p>
      <w:pPr>
        <w:ind w:firstLine="640" w:firstLineChars="200"/>
        <w:rPr>
          <w:rFonts w:ascii="仿宋_GB2312" w:eastAsia="仿宋_GB2312"/>
          <w:sz w:val="32"/>
          <w:szCs w:val="32"/>
        </w:rPr>
      </w:pPr>
      <w:r>
        <w:rPr>
          <w:rFonts w:hint="eastAsia" w:ascii="仿宋_GB2312" w:eastAsia="仿宋_GB2312"/>
          <w:sz w:val="32"/>
          <w:szCs w:val="32"/>
        </w:rPr>
        <w:t>1.一般公共服务支出（类）组织事务（款）其他组织事务支出（项）：支出决算数为1.59万元，比上年决算增加1.59万元，增长100%，主要原因是：2022年财政拨付访惠聚工作队经费1.59万元，2021年无此项支出。</w:t>
      </w:r>
    </w:p>
    <w:p>
      <w:pPr>
        <w:ind w:firstLine="640" w:firstLineChars="200"/>
        <w:rPr>
          <w:rFonts w:ascii="仿宋_GB2312" w:eastAsia="仿宋_GB2312"/>
          <w:sz w:val="32"/>
          <w:szCs w:val="32"/>
        </w:rPr>
      </w:pPr>
      <w:r>
        <w:rPr>
          <w:rFonts w:hint="eastAsia" w:ascii="仿宋_GB2312" w:eastAsia="仿宋_GB2312"/>
          <w:sz w:val="32"/>
          <w:szCs w:val="32"/>
        </w:rPr>
        <w:t>2.教育支出（类）普通教育（款）学前教育（项）：支出决算数为255.78万元，比上年决算增加14.51万元，增长6.01%，主要原因是：2022年调整工资津贴，发放2017年-2020年绩效，人员经费增加。</w:t>
      </w:r>
    </w:p>
    <w:p>
      <w:pPr>
        <w:ind w:firstLine="640" w:firstLineChars="200"/>
        <w:rPr>
          <w:rFonts w:ascii="仿宋_GB2312" w:eastAsia="仿宋_GB2312"/>
          <w:sz w:val="32"/>
          <w:szCs w:val="32"/>
        </w:rPr>
      </w:pPr>
      <w:r>
        <w:rPr>
          <w:rFonts w:hint="eastAsia" w:ascii="仿宋_GB2312" w:eastAsia="仿宋_GB2312"/>
          <w:sz w:val="32"/>
          <w:szCs w:val="32"/>
        </w:rPr>
        <w:t>3.教育支出（类）普通教育（款）小学教育（项）：支出决算数为1,142.08万元，比上年决算增加256.98万元，增长29.03%，主要原因是：2022年调整工资津贴，发放2017年，2020年绩效，人员经费增加。</w:t>
      </w:r>
    </w:p>
    <w:p>
      <w:pPr>
        <w:ind w:firstLine="640" w:firstLineChars="200"/>
        <w:rPr>
          <w:rFonts w:ascii="仿宋_GB2312" w:eastAsia="仿宋_GB2312"/>
          <w:sz w:val="32"/>
          <w:szCs w:val="32"/>
        </w:rPr>
      </w:pPr>
      <w:r>
        <w:rPr>
          <w:rFonts w:hint="eastAsia" w:ascii="仿宋_GB2312" w:eastAsia="仿宋_GB2312"/>
          <w:sz w:val="32"/>
          <w:szCs w:val="32"/>
        </w:rPr>
        <w:t>4.教育支出（类）普通教育（款）初中教育（项）：支出决算数为686.13万元，比上年决算增加189.42万元，增长38.13%，主要原因是：调整工资津贴，社保缴费基数增大，人员经费增加。</w:t>
      </w:r>
    </w:p>
    <w:p>
      <w:pPr>
        <w:ind w:firstLine="640" w:firstLineChars="200"/>
        <w:rPr>
          <w:rFonts w:ascii="仿宋_GB2312" w:eastAsia="仿宋_GB2312"/>
          <w:sz w:val="32"/>
          <w:szCs w:val="32"/>
        </w:rPr>
      </w:pPr>
      <w:r>
        <w:rPr>
          <w:rFonts w:hint="eastAsia" w:ascii="仿宋_GB2312" w:eastAsia="仿宋_GB2312"/>
          <w:sz w:val="32"/>
          <w:szCs w:val="32"/>
        </w:rPr>
        <w:t>5.社会保障和就业支出（类）行政事业单位养老支出（款）事业单位离退休（项）：支出决算数为133.01万元，比上年决算增加24.71万元，增长22.82%，主要原因是：2022年发放退休人员绩效工资增资部分。</w:t>
      </w:r>
    </w:p>
    <w:p>
      <w:pPr>
        <w:ind w:firstLine="640" w:firstLineChars="200"/>
        <w:rPr>
          <w:rFonts w:ascii="仿宋_GB2312" w:eastAsia="仿宋_GB2312"/>
          <w:sz w:val="32"/>
          <w:szCs w:val="32"/>
        </w:rPr>
      </w:pPr>
      <w:r>
        <w:rPr>
          <w:rFonts w:hint="eastAsia" w:ascii="仿宋_GB2312" w:eastAsia="仿宋_GB2312"/>
          <w:sz w:val="32"/>
          <w:szCs w:val="32"/>
        </w:rPr>
        <w:t>6.社会保障和就业支出（类）行政事业单位养老支出（款）机关事业单位基本养老保险缴费支出（项）：支出决算数为206.06万元，比上年决算增加19.04万元，增长10.18%，主要原因是：2022年工资津贴调整，事业单位基本养老保险缴费基数增大，缴费增加。</w:t>
      </w:r>
    </w:p>
    <w:p>
      <w:pPr>
        <w:ind w:firstLine="640" w:firstLineChars="200"/>
        <w:rPr>
          <w:rFonts w:ascii="仿宋_GB2312" w:eastAsia="仿宋_GB2312"/>
          <w:sz w:val="32"/>
          <w:szCs w:val="32"/>
        </w:rPr>
      </w:pPr>
      <w:r>
        <w:rPr>
          <w:rFonts w:hint="eastAsia" w:ascii="仿宋_GB2312" w:eastAsia="仿宋_GB2312"/>
          <w:sz w:val="32"/>
          <w:szCs w:val="32"/>
        </w:rPr>
        <w:t>7.社会保障和就业支出（类）行政事业单位养老支出（款）机关事业单位职业年金缴费支出（项）：支出决算数为11.54万元，比上年决算增加6.23万元，增长117.33%，主要原因是：2022年我单位退休2人，支付职业年金，机关事业单位职业年金缴费支出比上年增加。</w:t>
      </w:r>
    </w:p>
    <w:p>
      <w:pPr>
        <w:ind w:firstLine="640" w:firstLineChars="200"/>
        <w:rPr>
          <w:rFonts w:ascii="仿宋_GB2312" w:eastAsia="仿宋_GB2312"/>
          <w:sz w:val="32"/>
          <w:szCs w:val="32"/>
        </w:rPr>
      </w:pPr>
      <w:r>
        <w:rPr>
          <w:rFonts w:hint="eastAsia" w:ascii="仿宋_GB2312" w:eastAsia="仿宋_GB2312"/>
          <w:sz w:val="32"/>
          <w:szCs w:val="32"/>
        </w:rPr>
        <w:t>8.卫生健康支出（类）行政事业单位医疗（款）事业单位医疗（项）：支出决算数为102.00万元，比上年决算减少4.28万元，下降4.03%，主要原因是：2022年事业单位医疗测算比例比上年下降，2022年医疗保险缴费降低。</w:t>
      </w:r>
    </w:p>
    <w:p>
      <w:pPr>
        <w:ind w:firstLine="640" w:firstLineChars="200"/>
        <w:rPr>
          <w:rFonts w:ascii="仿宋_GB2312" w:eastAsia="仿宋_GB2312"/>
          <w:sz w:val="32"/>
          <w:szCs w:val="32"/>
        </w:rPr>
      </w:pPr>
      <w:r>
        <w:rPr>
          <w:rFonts w:hint="eastAsia" w:ascii="仿宋_GB2312" w:eastAsia="仿宋_GB2312"/>
          <w:sz w:val="32"/>
          <w:szCs w:val="32"/>
        </w:rPr>
        <w:t>9.住房保障支出（类）住房改革支出（款）住房公积金（项）：支出决算数为177.92万元，比上年决算增加43.67万元，增长32.53%，主要原因是：2022年调整工资津贴，住房公积金缴费基数增大，较上年增加。</w:t>
      </w:r>
    </w:p>
    <w:p>
      <w:pPr>
        <w:ind w:firstLine="640" w:firstLineChars="200"/>
        <w:outlineLvl w:val="1"/>
        <w:rPr>
          <w:rFonts w:ascii="黑体" w:hAnsi="黑体" w:eastAsia="黑体" w:cs="宋体"/>
          <w:kern w:val="0"/>
          <w:sz w:val="32"/>
          <w:szCs w:val="32"/>
        </w:rPr>
      </w:pPr>
      <w:bookmarkStart w:id="18" w:name="_Toc30870"/>
      <w:bookmarkStart w:id="19" w:name="_Toc11146"/>
      <w:r>
        <w:rPr>
          <w:rFonts w:hint="eastAsia" w:ascii="黑体" w:hAnsi="黑体" w:eastAsia="黑体" w:cs="宋体"/>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2022年度一般公共预算财政拨款基本支出2,605.89万元，其中：</w:t>
      </w:r>
    </w:p>
    <w:p>
      <w:pPr>
        <w:ind w:firstLine="640" w:firstLineChars="200"/>
        <w:rPr>
          <w:rFonts w:ascii="仿宋_GB2312" w:eastAsia="仿宋_GB2312"/>
          <w:sz w:val="32"/>
          <w:szCs w:val="32"/>
        </w:rPr>
      </w:pPr>
      <w:r>
        <w:rPr>
          <w:rFonts w:hint="eastAsia" w:ascii="仿宋_GB2312" w:eastAsia="仿宋_GB2312"/>
          <w:sz w:val="32"/>
          <w:szCs w:val="32"/>
        </w:rPr>
        <w:t>人员经费2,586.53万元，包括：基本工资、津贴补贴、奖金、绩效工资、机关事业单位基本养老保险缴费、职业年金缴费、职工基本医疗保险缴费、其他社会保障缴费、住房公积金、其他工资福利支出、离休费、退休费、抚恤金、生活补助、医疗费补助、助学金、奖励金。</w:t>
      </w:r>
    </w:p>
    <w:p>
      <w:pPr>
        <w:ind w:firstLine="640" w:firstLineChars="200"/>
        <w:rPr>
          <w:rFonts w:ascii="仿宋_GB2312" w:eastAsia="仿宋_GB2312"/>
          <w:sz w:val="32"/>
          <w:szCs w:val="32"/>
        </w:rPr>
      </w:pPr>
      <w:r>
        <w:rPr>
          <w:rFonts w:hint="eastAsia" w:ascii="仿宋_GB2312" w:eastAsia="仿宋_GB2312"/>
          <w:sz w:val="32"/>
          <w:szCs w:val="32"/>
        </w:rPr>
        <w:t>公用经费19.36万元，包括：取暖费。</w:t>
      </w:r>
    </w:p>
    <w:p>
      <w:pPr>
        <w:ind w:firstLine="640" w:firstLineChars="200"/>
        <w:outlineLvl w:val="1"/>
        <w:rPr>
          <w:rFonts w:ascii="黑体" w:hAnsi="黑体" w:eastAsia="黑体" w:cs="宋体"/>
          <w:kern w:val="0"/>
          <w:sz w:val="32"/>
          <w:szCs w:val="32"/>
        </w:rPr>
      </w:pPr>
      <w:bookmarkStart w:id="20" w:name="_Toc7190"/>
      <w:bookmarkStart w:id="21" w:name="_Toc21518"/>
      <w:r>
        <w:rPr>
          <w:rFonts w:hint="eastAsia" w:ascii="黑体" w:hAnsi="黑体" w:eastAsia="黑体" w:cs="宋体"/>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2022年度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因公出国（境）费支出0.00万元，开支内容包括我单位无因公出国（境）费支出。单位全年安排的因公出国（境）团组0个，因公出国（境）0人次。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公务接待费0.00万元，开支内容包括我单位无公务接待费。单位全年安排的国内公务接待0批次，0人次。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0.00万元，预决算差异率0.00%，主要原因是：我单位未安排财政拨款“三公”经费支出，预决算无差异。其中：因公出国（境）费全年预算数0.00万元，决算数0.00万元，预决算差异率0.00%，主要原因是：我单位未安排因公出国（境）费，预决算无差异；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rPr>
        <w:t>公务用车运行费全年预算数0.00万元，决算数0.00万元，预决算差异率0.00%，主要原因是：我单位未安排公务用车运行费，预决算无差异；</w:t>
      </w:r>
      <w:r>
        <w:rPr>
          <w:rFonts w:hint="eastAsia" w:ascii="仿宋_GB2312" w:eastAsia="仿宋_GB2312"/>
          <w:sz w:val="32"/>
          <w:szCs w:val="32"/>
        </w:rPr>
        <w:t>公务接待费全年预算数0.00万元，决算数0.00万元，预决算差异率0.00%，主要原因是：我单位未安排公务接待费，预决算无差异。</w:t>
      </w:r>
    </w:p>
    <w:p>
      <w:pPr>
        <w:ind w:firstLine="640" w:firstLineChars="200"/>
        <w:outlineLvl w:val="1"/>
        <w:rPr>
          <w:rFonts w:ascii="黑体" w:hAnsi="黑体" w:eastAsia="黑体" w:cs="宋体"/>
          <w:kern w:val="0"/>
          <w:sz w:val="32"/>
          <w:szCs w:val="32"/>
        </w:rPr>
      </w:pPr>
      <w:bookmarkStart w:id="22" w:name="_Toc7927"/>
      <w:bookmarkStart w:id="23" w:name="_Toc5810"/>
      <w:r>
        <w:rPr>
          <w:rFonts w:hint="eastAsia" w:ascii="黑体" w:hAnsi="黑体" w:eastAsia="黑体" w:cs="宋体"/>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outlineLvl w:val="1"/>
        <w:rPr>
          <w:rFonts w:ascii="黑体" w:hAnsi="黑体" w:eastAsia="黑体" w:cs="宋体"/>
          <w:kern w:val="0"/>
          <w:sz w:val="32"/>
          <w:szCs w:val="32"/>
        </w:rPr>
      </w:pPr>
      <w:bookmarkStart w:id="24" w:name="_Toc1235"/>
      <w:bookmarkStart w:id="25" w:name="_Toc7314"/>
      <w:r>
        <w:rPr>
          <w:rFonts w:hint="eastAsia" w:ascii="黑体" w:hAnsi="黑体" w:eastAsia="黑体" w:cs="宋体"/>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2022年度新疆塔城地区额敏县霍吉尔特乡牧业寄宿制学校（事业单位）公用经费19.36万元，比上年增加19.36万元，增长100%，主要原因是：2022年公用经费支付取暖费19.36万元，2021年取暖费在项目经费支出。</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2022年度政府采购支出总额26.77万元，其中：政府采购货物支出18.80万元、政府采购工程支出0.00万元、政府采购服务支出7.97万元。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授予中小企业合同金额26.77万元，占政府采购支出总额的100.00%，其中：授予小微企业合同金额26.77万元，占政府采购支出总额的100.00%。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3,384.37万元，房屋16,500.06平方米，价值2,752.70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ind w:firstLine="640" w:firstLineChars="200"/>
        <w:outlineLvl w:val="1"/>
        <w:rPr>
          <w:rFonts w:ascii="黑体" w:hAnsi="黑体" w:eastAsia="黑体" w:cs="宋体"/>
          <w:kern w:val="0"/>
          <w:sz w:val="32"/>
          <w:szCs w:val="32"/>
        </w:rPr>
      </w:pPr>
      <w:bookmarkStart w:id="32" w:name="_Toc435"/>
      <w:bookmarkStart w:id="33" w:name="_Toc11283"/>
      <w:r>
        <w:rPr>
          <w:rFonts w:hint="eastAsia" w:ascii="黑体" w:hAnsi="黑体" w:eastAsia="黑体" w:cs="宋体"/>
          <w:kern w:val="0"/>
          <w:sz w:val="32"/>
          <w:szCs w:val="32"/>
        </w:rPr>
        <w:t>十一、预算绩效的情况说明</w:t>
      </w:r>
      <w:bookmarkEnd w:id="32"/>
      <w:bookmarkEnd w:id="33"/>
    </w:p>
    <w:p>
      <w:pPr>
        <w:ind w:firstLine="640" w:firstLineChars="200"/>
        <w:rPr>
          <w:rFonts w:ascii="仿宋_GB2312" w:eastAsia="仿宋_GB2312"/>
          <w:sz w:val="32"/>
          <w:szCs w:val="32"/>
        </w:rPr>
      </w:pPr>
      <w:bookmarkStart w:id="34" w:name="_Toc3250"/>
      <w:bookmarkStart w:id="35" w:name="_Toc24143"/>
      <w:r>
        <w:rPr>
          <w:rFonts w:hint="eastAsia" w:ascii="仿宋_GB2312" w:eastAsia="仿宋_GB2312"/>
          <w:sz w:val="32"/>
          <w:szCs w:val="32"/>
        </w:rPr>
        <w:t>根据预算绩效管理要求，我单位2022年度开展预算绩效评价项目0个，全年预算数0.00万元，全年执行数0.00万元。预算绩效管理取得的成效：按照年初绩效录入要求，我单位2022年度项目绩效统一录入教科局绩效系统，本单位绩效不单独反映。发现的问题及原因：我单位2022年度项目绩效统一录入教科局绩效系统，本单位绩效不单独反映。下一步改进措施：我单位继续严格按照教科局关于绩效录入的统一安排，不单独反映绩效自评，避免了绩效系统各学校间同项目重复。</w:t>
      </w:r>
    </w:p>
    <w:p>
      <w:pPr>
        <w:outlineLvl w:val="0"/>
        <w:rPr>
          <w:rFonts w:ascii="黑体" w:hAnsi="黑体" w:eastAsia="黑体"/>
          <w:sz w:val="32"/>
          <w:szCs w:val="32"/>
        </w:rPr>
      </w:pPr>
      <w:r>
        <w:rPr>
          <w:rFonts w:ascii="黑体"/>
          <w:b/>
          <w:kern w:val="44"/>
          <w:sz w:val="28"/>
        </w:rPr>
        <w:br w:type="page"/>
      </w:r>
      <w:r>
        <w:rPr>
          <w:rFonts w:ascii="黑体"/>
          <w:b/>
          <w:spacing w:val="40"/>
          <w:sz w:val="28"/>
        </w:rPr>
        <w:t xml:space="preserve"> </w:t>
      </w: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562" w:firstLineChars="200"/>
        <w:jc w:val="center"/>
        <w:outlineLvl w:val="0"/>
        <w:rPr>
          <w:rFonts w:ascii="黑体" w:hAnsi="黑体" w:eastAsia="黑体"/>
          <w:sz w:val="32"/>
          <w:szCs w:val="32"/>
        </w:rPr>
      </w:pPr>
      <w:bookmarkStart w:id="36" w:name="_Toc22784"/>
      <w:bookmarkStart w:id="37" w:name="_Toc28903"/>
      <w:r>
        <w:rPr>
          <w:rFonts w:ascii="黑体"/>
          <w:b/>
          <w:kern w:val="44"/>
          <w:sz w:val="28"/>
        </w:rPr>
        <w:br w:type="page"/>
      </w:r>
      <w:r>
        <w:rPr>
          <w:rFonts w:ascii="黑体"/>
          <w:b/>
          <w:spacing w:val="40"/>
          <w:sz w:val="28"/>
        </w:rPr>
        <w:t xml:space="preserve"> </w:t>
      </w: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kern w:val="0"/>
          <w:sz w:val="32"/>
          <w:szCs w:val="32"/>
        </w:rPr>
      </w:pPr>
      <w:bookmarkStart w:id="38" w:name="_Toc6062"/>
      <w:bookmarkStart w:id="39" w:name="_Toc2183"/>
      <w:r>
        <w:rPr>
          <w:rFonts w:hint="eastAsia" w:ascii="黑体" w:hAnsi="黑体" w:eastAsia="黑体" w:cs="宋体"/>
          <w:kern w:val="0"/>
          <w:sz w:val="32"/>
          <w:szCs w:val="32"/>
        </w:rPr>
        <w:t>一、《收入支出决算总表》</w:t>
      </w:r>
      <w:bookmarkEnd w:id="38"/>
      <w:bookmarkEnd w:id="39"/>
    </w:p>
    <w:p>
      <w:pPr>
        <w:ind w:firstLine="640" w:firstLineChars="200"/>
        <w:outlineLvl w:val="1"/>
        <w:rPr>
          <w:rFonts w:ascii="黑体" w:hAnsi="黑体" w:eastAsia="黑体" w:cs="宋体"/>
          <w:kern w:val="0"/>
          <w:sz w:val="32"/>
          <w:szCs w:val="32"/>
        </w:rPr>
      </w:pPr>
      <w:bookmarkStart w:id="40" w:name="_Toc24532"/>
      <w:bookmarkStart w:id="41" w:name="_Toc30364"/>
      <w:r>
        <w:rPr>
          <w:rFonts w:hint="eastAsia" w:ascii="黑体" w:hAnsi="黑体" w:eastAsia="黑体" w:cs="宋体"/>
          <w:kern w:val="0"/>
          <w:sz w:val="32"/>
          <w:szCs w:val="32"/>
        </w:rPr>
        <w:t>二、《收入决算表》</w:t>
      </w:r>
      <w:bookmarkEnd w:id="40"/>
      <w:bookmarkEnd w:id="41"/>
    </w:p>
    <w:p>
      <w:pPr>
        <w:ind w:firstLine="640" w:firstLineChars="200"/>
        <w:outlineLvl w:val="1"/>
        <w:rPr>
          <w:rFonts w:ascii="黑体" w:hAnsi="黑体" w:eastAsia="黑体" w:cs="宋体"/>
          <w:kern w:val="0"/>
          <w:sz w:val="32"/>
          <w:szCs w:val="32"/>
        </w:rPr>
      </w:pPr>
      <w:bookmarkStart w:id="42" w:name="_Toc21304"/>
      <w:bookmarkStart w:id="43" w:name="_Toc32434"/>
      <w:r>
        <w:rPr>
          <w:rFonts w:hint="eastAsia" w:ascii="黑体" w:hAnsi="黑体" w:eastAsia="黑体" w:cs="宋体"/>
          <w:kern w:val="0"/>
          <w:sz w:val="32"/>
          <w:szCs w:val="32"/>
        </w:rPr>
        <w:t>三、《支出决算表》</w:t>
      </w:r>
      <w:bookmarkEnd w:id="42"/>
      <w:bookmarkEnd w:id="43"/>
    </w:p>
    <w:p>
      <w:pPr>
        <w:ind w:firstLine="640" w:firstLineChars="200"/>
        <w:outlineLvl w:val="1"/>
        <w:rPr>
          <w:rFonts w:ascii="黑体" w:hAnsi="黑体" w:eastAsia="黑体" w:cs="宋体"/>
          <w:kern w:val="0"/>
          <w:sz w:val="32"/>
          <w:szCs w:val="32"/>
        </w:rPr>
      </w:pPr>
      <w:bookmarkStart w:id="44" w:name="_Toc28786"/>
      <w:bookmarkStart w:id="45" w:name="_Toc14238"/>
      <w:r>
        <w:rPr>
          <w:rFonts w:hint="eastAsia" w:ascii="黑体" w:hAnsi="黑体" w:eastAsia="黑体" w:cs="宋体"/>
          <w:kern w:val="0"/>
          <w:sz w:val="32"/>
          <w:szCs w:val="32"/>
        </w:rPr>
        <w:t>四、《财政拨款收入支出决算总表》</w:t>
      </w:r>
      <w:bookmarkEnd w:id="44"/>
      <w:bookmarkEnd w:id="45"/>
    </w:p>
    <w:p>
      <w:pPr>
        <w:ind w:firstLine="640" w:firstLineChars="200"/>
        <w:outlineLvl w:val="1"/>
        <w:rPr>
          <w:rFonts w:ascii="黑体" w:hAnsi="黑体" w:eastAsia="黑体" w:cs="宋体"/>
          <w:kern w:val="0"/>
          <w:sz w:val="32"/>
          <w:szCs w:val="32"/>
        </w:rPr>
      </w:pPr>
      <w:bookmarkStart w:id="46" w:name="_Toc10347"/>
      <w:bookmarkStart w:id="47" w:name="_Toc14869"/>
      <w:r>
        <w:rPr>
          <w:rFonts w:hint="eastAsia" w:ascii="黑体" w:hAnsi="黑体" w:eastAsia="黑体" w:cs="宋体"/>
          <w:kern w:val="0"/>
          <w:sz w:val="32"/>
          <w:szCs w:val="32"/>
        </w:rPr>
        <w:t>五、《一般公共预算财政拨款支出决算表》</w:t>
      </w:r>
      <w:bookmarkEnd w:id="46"/>
      <w:bookmarkEnd w:id="47"/>
    </w:p>
    <w:p>
      <w:pPr>
        <w:ind w:firstLine="640" w:firstLineChars="200"/>
        <w:outlineLvl w:val="1"/>
        <w:rPr>
          <w:rFonts w:ascii="黑体" w:hAnsi="黑体" w:eastAsia="黑体" w:cs="宋体"/>
          <w:kern w:val="0"/>
          <w:sz w:val="32"/>
          <w:szCs w:val="32"/>
        </w:rPr>
      </w:pPr>
      <w:bookmarkStart w:id="48" w:name="_Toc5626"/>
      <w:bookmarkStart w:id="49" w:name="_Toc8884"/>
      <w:r>
        <w:rPr>
          <w:rFonts w:hint="eastAsia" w:ascii="黑体" w:hAnsi="黑体" w:eastAsia="黑体" w:cs="宋体"/>
          <w:kern w:val="0"/>
          <w:sz w:val="32"/>
          <w:szCs w:val="32"/>
        </w:rPr>
        <w:t>六、《一般公共预算财政拨款基本支出决算表》</w:t>
      </w:r>
      <w:bookmarkEnd w:id="48"/>
      <w:bookmarkEnd w:id="49"/>
    </w:p>
    <w:p>
      <w:pPr>
        <w:ind w:firstLine="640" w:firstLineChars="200"/>
        <w:outlineLvl w:val="1"/>
        <w:rPr>
          <w:rFonts w:ascii="黑体" w:hAnsi="黑体" w:eastAsia="黑体" w:cs="宋体"/>
          <w:kern w:val="0"/>
          <w:sz w:val="32"/>
          <w:szCs w:val="32"/>
        </w:rPr>
      </w:pPr>
      <w:bookmarkStart w:id="50" w:name="_Toc29106"/>
      <w:bookmarkStart w:id="51" w:name="_Toc32663"/>
      <w:r>
        <w:rPr>
          <w:rFonts w:hint="eastAsia" w:ascii="黑体" w:hAnsi="黑体" w:eastAsia="黑体" w:cs="宋体"/>
          <w:kern w:val="0"/>
          <w:sz w:val="32"/>
          <w:szCs w:val="32"/>
        </w:rPr>
        <w:t>七、《财政拨款“三公”经费支出决算表》</w:t>
      </w:r>
      <w:bookmarkEnd w:id="50"/>
      <w:bookmarkEnd w:id="51"/>
    </w:p>
    <w:p>
      <w:pPr>
        <w:ind w:firstLine="640" w:firstLineChars="200"/>
        <w:outlineLvl w:val="1"/>
        <w:rPr>
          <w:rFonts w:ascii="黑体" w:hAnsi="黑体" w:eastAsia="黑体" w:cs="宋体"/>
          <w:kern w:val="0"/>
          <w:sz w:val="32"/>
          <w:szCs w:val="32"/>
        </w:rPr>
      </w:pPr>
      <w:bookmarkStart w:id="52" w:name="_Toc7643"/>
      <w:bookmarkStart w:id="53" w:name="_Toc5453"/>
      <w:r>
        <w:rPr>
          <w:rFonts w:hint="eastAsia" w:ascii="黑体" w:hAnsi="黑体" w:eastAsia="黑体" w:cs="宋体"/>
          <w:kern w:val="0"/>
          <w:sz w:val="32"/>
          <w:szCs w:val="32"/>
        </w:rPr>
        <w:t>八、《政府性基金预算财政拨款收入支出决算表》</w:t>
      </w:r>
      <w:bookmarkEnd w:id="52"/>
      <w:bookmarkEnd w:id="53"/>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path/>
          <v:fill on="f" focussize="0,0"/>
          <v:stroke on="f" joinstyle="miter"/>
          <v:imagedata o:title=""/>
          <o:lock v:ext="edit"/>
          <v:textbox inset="0mm,0mm,0mm,0mm" style="mso-fit-shape-to-text:t;">
            <w:txbxContent>
              <w:p>
                <w:pPr>
                  <w:pStyle w:val="4"/>
                  <w:tabs>
                    <w:tab w:val="center" w:pos="4153"/>
                    <w:tab w:val="right" w:pos="8306"/>
                  </w:tabs>
                </w:pPr>
                <w:r>
                  <w:rPr>
                    <w:rFonts w:hint="eastAsia"/>
                  </w:rPr>
                  <w:fldChar w:fldCharType="begin"/>
                </w:r>
                <w:r>
                  <w:rPr>
                    <w:rFonts w:hint="eastAsia"/>
                  </w:rPr>
                  <w:instrText xml:space="preserve"> PAGE \* MERGEFORMAT</w:instrText>
                </w:r>
                <w:r>
                  <w:rPr>
                    <w:rFonts w:hint="eastAsia"/>
                  </w:rPr>
                  <w:fldChar w:fldCharType="separate"/>
                </w:r>
                <w:r>
                  <w:t>11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useFELayout/>
    <w:compatSetting w:name="compatibilityMode" w:uri="http://schemas.microsoft.com/office/word" w:val="12"/>
  </w:compat>
  <w:docVars>
    <w:docVar w:name="commondata" w:val="eyJoZGlkIjoiZDEzZmRjNGE1MWFhMmQ5YTI4N2U2NGVhNTI5YmQ5NzAifQ=="/>
  </w:docVars>
  <w:rsids>
    <w:rsidRoot w:val="00EE5F68"/>
    <w:rsid w:val="00293F9F"/>
    <w:rsid w:val="002F47A0"/>
    <w:rsid w:val="00325137"/>
    <w:rsid w:val="00536699"/>
    <w:rsid w:val="006722C7"/>
    <w:rsid w:val="00A839FA"/>
    <w:rsid w:val="00C31A67"/>
    <w:rsid w:val="00CE114C"/>
    <w:rsid w:val="00EE5F68"/>
    <w:rsid w:val="079E3E7E"/>
    <w:rsid w:val="09F34279"/>
    <w:rsid w:val="0AC87FF6"/>
    <w:rsid w:val="13CB0FB1"/>
    <w:rsid w:val="1ED65E9B"/>
    <w:rsid w:val="2B78259E"/>
    <w:rsid w:val="305B02AF"/>
    <w:rsid w:val="341B222F"/>
    <w:rsid w:val="49AA6CC8"/>
    <w:rsid w:val="58387956"/>
    <w:rsid w:val="6859581A"/>
    <w:rsid w:val="7A190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5619</Words>
  <Characters>6462</Characters>
  <Lines>52</Lines>
  <Paragraphs>14</Paragraphs>
  <TotalTime>6</TotalTime>
  <ScaleCrop>false</ScaleCrop>
  <LinksUpToDate>false</LinksUpToDate>
  <CharactersWithSpaces>6479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2024-06-21T12:04:34Z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49FB9FCDE6784C06BDAFFB72BA9025E4_13</vt:lpwstr>
  </property>
</Properties>
</file>